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4D818" w14:textId="77777777" w:rsidR="00957501" w:rsidRPr="00C42BF6" w:rsidRDefault="00957501" w:rsidP="00485D33">
      <w:pPr>
        <w:spacing w:line="360" w:lineRule="auto"/>
        <w:ind w:left="720" w:hanging="720"/>
        <w:jc w:val="center"/>
        <w:rPr>
          <w:rFonts w:ascii="Arial" w:hAnsi="Arial" w:cs="Arial"/>
          <w:b/>
          <w:color w:val="000000"/>
          <w:sz w:val="24"/>
          <w:szCs w:val="24"/>
        </w:rPr>
      </w:pPr>
      <w:r w:rsidRPr="00C42BF6">
        <w:rPr>
          <w:rFonts w:ascii="Arial" w:hAnsi="Arial" w:cs="Arial"/>
          <w:b/>
          <w:color w:val="000000"/>
          <w:sz w:val="24"/>
          <w:szCs w:val="24"/>
        </w:rPr>
        <w:t xml:space="preserve">SUPPLEMENTAL MATERIAL TO: </w:t>
      </w:r>
    </w:p>
    <w:p w14:paraId="6EA3059B" w14:textId="77777777" w:rsidR="00FF30AE" w:rsidRPr="00C42BF6" w:rsidRDefault="45A21497" w:rsidP="45A21497">
      <w:pPr>
        <w:spacing w:line="360" w:lineRule="auto"/>
        <w:jc w:val="center"/>
        <w:rPr>
          <w:rFonts w:ascii="Arial" w:eastAsia="Arial" w:hAnsi="Arial" w:cs="Arial"/>
          <w:b/>
          <w:bCs/>
          <w:color w:val="000000"/>
          <w:sz w:val="24"/>
          <w:szCs w:val="24"/>
        </w:rPr>
      </w:pPr>
      <w:r w:rsidRPr="00C42BF6">
        <w:rPr>
          <w:rFonts w:ascii="Arial" w:eastAsia="Arial" w:hAnsi="Arial" w:cs="Arial"/>
          <w:b/>
          <w:bCs/>
          <w:color w:val="000000"/>
          <w:sz w:val="24"/>
          <w:szCs w:val="24"/>
        </w:rPr>
        <w:t>Oral Supplementation with the Short-Chain Fatty Acid Acetate Ameliorates Age-Related Arterial Dysfunction in Mice</w:t>
      </w:r>
    </w:p>
    <w:p w14:paraId="7F1AF2EE" w14:textId="77777777" w:rsidR="00FF30AE" w:rsidRPr="00C42BF6" w:rsidRDefault="00FF30AE" w:rsidP="00FF30AE">
      <w:pPr>
        <w:spacing w:line="360" w:lineRule="auto"/>
        <w:jc w:val="center"/>
        <w:rPr>
          <w:rFonts w:ascii="Arial" w:eastAsia="Arial" w:hAnsi="Arial" w:cs="Arial"/>
          <w:b/>
          <w:bCs/>
          <w:color w:val="000000"/>
          <w:sz w:val="24"/>
          <w:szCs w:val="24"/>
        </w:rPr>
      </w:pPr>
      <w:r w:rsidRPr="00C42BF6">
        <w:rPr>
          <w:rFonts w:ascii="Arial" w:eastAsia="Arial" w:hAnsi="Arial" w:cs="Arial"/>
          <w:b/>
          <w:bCs/>
          <w:color w:val="000000"/>
          <w:sz w:val="24"/>
          <w:szCs w:val="24"/>
        </w:rPr>
        <w:t>Short title: Acetate Improves Age-Related Arterial Dysfunction</w:t>
      </w:r>
    </w:p>
    <w:p w14:paraId="47E69CC1" w14:textId="77777777" w:rsidR="00FF30AE" w:rsidRPr="00C42BF6" w:rsidRDefault="00FF30AE" w:rsidP="00FF30AE">
      <w:pPr>
        <w:spacing w:line="360" w:lineRule="auto"/>
        <w:jc w:val="center"/>
        <w:rPr>
          <w:rFonts w:ascii="Arial" w:eastAsia="Arial" w:hAnsi="Arial" w:cs="Arial"/>
          <w:b/>
          <w:bCs/>
          <w:color w:val="000000"/>
          <w:sz w:val="24"/>
          <w:szCs w:val="24"/>
        </w:rPr>
      </w:pPr>
    </w:p>
    <w:p w14:paraId="75188189" w14:textId="77777777" w:rsidR="00FF30AE" w:rsidRPr="00C42BF6" w:rsidRDefault="00FF30AE" w:rsidP="00FF30AE">
      <w:pPr>
        <w:spacing w:line="360" w:lineRule="auto"/>
        <w:jc w:val="center"/>
        <w:rPr>
          <w:rFonts w:ascii="Arial" w:eastAsia="Arial" w:hAnsi="Arial" w:cs="Arial"/>
          <w:color w:val="000000"/>
          <w:sz w:val="24"/>
          <w:szCs w:val="24"/>
          <w:vertAlign w:val="superscript"/>
        </w:rPr>
      </w:pPr>
      <w:r w:rsidRPr="00C42BF6">
        <w:rPr>
          <w:rFonts w:ascii="Arial" w:eastAsia="Arial" w:hAnsi="Arial" w:cs="Arial"/>
          <w:color w:val="000000"/>
          <w:sz w:val="24"/>
          <w:szCs w:val="24"/>
        </w:rPr>
        <w:t>Abigail G. Longtine</w:t>
      </w: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 Nathan T. Greenberg</w:t>
      </w: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 Antonio Gonzalez</w:t>
      </w:r>
      <w:r w:rsidRPr="00C42BF6">
        <w:rPr>
          <w:rFonts w:ascii="Arial" w:eastAsia="Arial" w:hAnsi="Arial" w:cs="Arial"/>
          <w:color w:val="000000"/>
          <w:sz w:val="24"/>
          <w:szCs w:val="24"/>
          <w:vertAlign w:val="superscript"/>
        </w:rPr>
        <w:t>2</w:t>
      </w:r>
      <w:r w:rsidRPr="00C42BF6">
        <w:rPr>
          <w:rFonts w:ascii="Arial" w:eastAsia="Arial" w:hAnsi="Arial" w:cs="Arial"/>
          <w:color w:val="000000"/>
          <w:sz w:val="24"/>
          <w:szCs w:val="24"/>
        </w:rPr>
        <w:t>, Alexandra Lindquist</w:t>
      </w: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 Nicholas S. VanDongen</w:t>
      </w: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 Sophia A. Mahoney</w:t>
      </w: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 xml:space="preserve">, </w:t>
      </w:r>
      <w:proofErr w:type="spellStart"/>
      <w:r w:rsidRPr="00C42BF6">
        <w:rPr>
          <w:rFonts w:ascii="Arial" w:eastAsia="Arial" w:hAnsi="Arial" w:cs="Arial"/>
          <w:color w:val="000000"/>
          <w:sz w:val="24"/>
          <w:szCs w:val="24"/>
        </w:rPr>
        <w:t>Gibraan</w:t>
      </w:r>
      <w:proofErr w:type="spellEnd"/>
      <w:r w:rsidRPr="00C42BF6">
        <w:rPr>
          <w:rFonts w:ascii="Arial" w:eastAsia="Arial" w:hAnsi="Arial" w:cs="Arial"/>
          <w:color w:val="000000"/>
          <w:sz w:val="24"/>
          <w:szCs w:val="24"/>
        </w:rPr>
        <w:t xml:space="preserve"> Rahman</w:t>
      </w:r>
      <w:r w:rsidRPr="00C42BF6">
        <w:rPr>
          <w:rFonts w:ascii="Arial" w:eastAsia="Arial" w:hAnsi="Arial" w:cs="Arial"/>
          <w:color w:val="000000"/>
          <w:sz w:val="24"/>
          <w:szCs w:val="24"/>
          <w:vertAlign w:val="superscript"/>
        </w:rPr>
        <w:t>2</w:t>
      </w:r>
      <w:r w:rsidRPr="00C42BF6">
        <w:rPr>
          <w:rFonts w:ascii="Arial" w:eastAsia="Arial" w:hAnsi="Arial" w:cs="Arial"/>
          <w:color w:val="000000"/>
          <w:sz w:val="24"/>
          <w:szCs w:val="24"/>
        </w:rPr>
        <w:t>, Zachary S. Clayton</w:t>
      </w: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 Brian P. Ziemba</w:t>
      </w: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 Katelyn R. Ludwig</w:t>
      </w: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 Michael E. Widlansky</w:t>
      </w:r>
      <w:r w:rsidRPr="00C42BF6">
        <w:rPr>
          <w:rFonts w:ascii="Arial" w:eastAsia="Arial" w:hAnsi="Arial" w:cs="Arial"/>
          <w:color w:val="000000"/>
          <w:sz w:val="24"/>
          <w:szCs w:val="24"/>
          <w:vertAlign w:val="superscript"/>
        </w:rPr>
        <w:t>3</w:t>
      </w:r>
      <w:r w:rsidRPr="00C42BF6">
        <w:rPr>
          <w:rFonts w:ascii="Arial" w:eastAsia="Arial" w:hAnsi="Arial" w:cs="Arial"/>
          <w:color w:val="000000"/>
          <w:sz w:val="24"/>
          <w:szCs w:val="24"/>
        </w:rPr>
        <w:t>, Rob Knight</w:t>
      </w:r>
      <w:r w:rsidRPr="00C42BF6">
        <w:rPr>
          <w:rFonts w:ascii="Arial" w:eastAsia="Arial" w:hAnsi="Arial" w:cs="Arial"/>
          <w:color w:val="000000"/>
          <w:sz w:val="24"/>
          <w:szCs w:val="24"/>
          <w:vertAlign w:val="superscript"/>
        </w:rPr>
        <w:t>2,4</w:t>
      </w:r>
      <w:r w:rsidRPr="00C42BF6">
        <w:rPr>
          <w:rFonts w:ascii="Arial" w:eastAsia="Arial" w:hAnsi="Arial" w:cs="Arial"/>
          <w:color w:val="000000"/>
          <w:sz w:val="24"/>
          <w:szCs w:val="24"/>
        </w:rPr>
        <w:t>, Douglas R. Seals</w:t>
      </w: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 Vienna E. Brunt</w:t>
      </w:r>
      <w:r w:rsidRPr="00C42BF6">
        <w:rPr>
          <w:rFonts w:ascii="Arial" w:eastAsia="Arial" w:hAnsi="Arial" w:cs="Arial"/>
          <w:color w:val="000000"/>
          <w:sz w:val="24"/>
          <w:szCs w:val="24"/>
          <w:vertAlign w:val="superscript"/>
        </w:rPr>
        <w:t>1,5</w:t>
      </w:r>
    </w:p>
    <w:p w14:paraId="482E546A" w14:textId="77777777" w:rsidR="00FF30AE" w:rsidRPr="00C42BF6" w:rsidRDefault="00FF30AE" w:rsidP="00FF30AE">
      <w:pPr>
        <w:spacing w:line="360" w:lineRule="auto"/>
        <w:jc w:val="center"/>
        <w:rPr>
          <w:rFonts w:ascii="Arial" w:eastAsia="Arial" w:hAnsi="Arial" w:cs="Arial"/>
          <w:color w:val="000000"/>
          <w:sz w:val="24"/>
          <w:szCs w:val="24"/>
        </w:rPr>
      </w:pPr>
      <w:r w:rsidRPr="00C42BF6">
        <w:rPr>
          <w:rFonts w:ascii="Arial" w:eastAsia="Arial" w:hAnsi="Arial" w:cs="Arial"/>
          <w:color w:val="000000"/>
          <w:sz w:val="24"/>
          <w:szCs w:val="24"/>
          <w:vertAlign w:val="superscript"/>
        </w:rPr>
        <w:t>1</w:t>
      </w:r>
      <w:r w:rsidRPr="00C42BF6">
        <w:rPr>
          <w:rFonts w:ascii="Arial" w:eastAsia="Arial" w:hAnsi="Arial" w:cs="Arial"/>
          <w:color w:val="000000"/>
          <w:sz w:val="24"/>
          <w:szCs w:val="24"/>
        </w:rPr>
        <w:t>Department of Integrative Physiology, University of Colorado Boulder, Boulder, CO</w:t>
      </w:r>
    </w:p>
    <w:p w14:paraId="346932DC" w14:textId="77777777" w:rsidR="00FF30AE" w:rsidRPr="00C42BF6" w:rsidRDefault="00FF30AE" w:rsidP="00FF30AE">
      <w:pPr>
        <w:spacing w:line="360" w:lineRule="auto"/>
        <w:jc w:val="center"/>
        <w:rPr>
          <w:rFonts w:ascii="Arial" w:eastAsia="Arial" w:hAnsi="Arial" w:cs="Arial"/>
          <w:color w:val="000000"/>
          <w:sz w:val="24"/>
          <w:szCs w:val="24"/>
        </w:rPr>
      </w:pPr>
      <w:r w:rsidRPr="00C42BF6">
        <w:rPr>
          <w:rFonts w:ascii="Arial" w:eastAsia="Arial" w:hAnsi="Arial" w:cs="Arial"/>
          <w:color w:val="000000"/>
          <w:sz w:val="24"/>
          <w:szCs w:val="24"/>
          <w:vertAlign w:val="superscript"/>
        </w:rPr>
        <w:t>2</w:t>
      </w:r>
      <w:r w:rsidRPr="00C42BF6">
        <w:rPr>
          <w:rFonts w:ascii="Arial" w:eastAsia="Arial" w:hAnsi="Arial" w:cs="Arial"/>
          <w:color w:val="000000"/>
          <w:sz w:val="24"/>
          <w:szCs w:val="24"/>
        </w:rPr>
        <w:t>Department of Pediatrics, University of California San Diego, La Jolla, CA</w:t>
      </w:r>
    </w:p>
    <w:p w14:paraId="42D0FF48" w14:textId="77777777" w:rsidR="00FF30AE" w:rsidRPr="00C42BF6" w:rsidRDefault="00FF30AE" w:rsidP="00FF30AE">
      <w:pPr>
        <w:spacing w:line="360" w:lineRule="auto"/>
        <w:jc w:val="center"/>
        <w:rPr>
          <w:rFonts w:ascii="Arial" w:eastAsia="Arial" w:hAnsi="Arial" w:cs="Arial"/>
          <w:color w:val="000000"/>
          <w:sz w:val="24"/>
          <w:szCs w:val="24"/>
        </w:rPr>
      </w:pPr>
      <w:r w:rsidRPr="00C42BF6">
        <w:rPr>
          <w:rFonts w:ascii="Arial" w:eastAsia="Arial" w:hAnsi="Arial" w:cs="Arial"/>
          <w:color w:val="000000"/>
          <w:sz w:val="24"/>
          <w:szCs w:val="24"/>
          <w:vertAlign w:val="superscript"/>
        </w:rPr>
        <w:t>3</w:t>
      </w:r>
      <w:r w:rsidRPr="00C42BF6">
        <w:rPr>
          <w:rFonts w:ascii="Arial" w:eastAsia="Arial" w:hAnsi="Arial" w:cs="Arial"/>
          <w:color w:val="000000"/>
          <w:sz w:val="24"/>
          <w:szCs w:val="24"/>
        </w:rPr>
        <w:t>Departments of Medicine and Pharmacology and the Cardiovascular Research Center,</w:t>
      </w:r>
      <w:r w:rsidRPr="00C42BF6">
        <w:rPr>
          <w:rFonts w:ascii="Arial" w:eastAsia="Arial" w:hAnsi="Arial" w:cs="Arial"/>
          <w:color w:val="000000"/>
          <w:sz w:val="24"/>
          <w:szCs w:val="24"/>
          <w:vertAlign w:val="superscript"/>
        </w:rPr>
        <w:t xml:space="preserve"> </w:t>
      </w:r>
      <w:r w:rsidRPr="00C42BF6">
        <w:rPr>
          <w:rFonts w:ascii="Arial" w:eastAsia="Arial" w:hAnsi="Arial" w:cs="Arial"/>
          <w:color w:val="000000"/>
          <w:sz w:val="24"/>
          <w:szCs w:val="24"/>
        </w:rPr>
        <w:t>Medical College of Wisconsin, Milwaukee, WI</w:t>
      </w:r>
    </w:p>
    <w:p w14:paraId="66DE536E" w14:textId="77777777" w:rsidR="00FF30AE" w:rsidRPr="00C42BF6" w:rsidRDefault="00FF30AE" w:rsidP="00FF30AE">
      <w:pPr>
        <w:spacing w:line="360" w:lineRule="auto"/>
        <w:jc w:val="center"/>
        <w:rPr>
          <w:rFonts w:ascii="Arial" w:eastAsia="Arial" w:hAnsi="Arial" w:cs="Arial"/>
          <w:color w:val="000000"/>
          <w:sz w:val="24"/>
          <w:szCs w:val="24"/>
        </w:rPr>
      </w:pPr>
      <w:r w:rsidRPr="00C42BF6">
        <w:rPr>
          <w:rFonts w:ascii="Arial" w:eastAsia="Arial" w:hAnsi="Arial" w:cs="Arial"/>
          <w:color w:val="000000"/>
          <w:sz w:val="24"/>
          <w:szCs w:val="24"/>
          <w:vertAlign w:val="superscript"/>
        </w:rPr>
        <w:t>4</w:t>
      </w:r>
      <w:r w:rsidR="00C144FD" w:rsidRPr="00C42BF6">
        <w:rPr>
          <w:rFonts w:ascii="Arial" w:eastAsia="Arial" w:hAnsi="Arial" w:cs="Arial"/>
          <w:color w:val="000000"/>
          <w:sz w:val="24"/>
          <w:szCs w:val="24"/>
        </w:rPr>
        <w:t xml:space="preserve">Shu Chien-Gene Lay Department of Bioengineering, Department of Computer Science and Engineering, and </w:t>
      </w:r>
      <w:proofErr w:type="spellStart"/>
      <w:r w:rsidR="00C144FD" w:rsidRPr="00C42BF6">
        <w:rPr>
          <w:rFonts w:ascii="Arial" w:eastAsia="Arial" w:hAnsi="Arial" w:cs="Arial"/>
          <w:color w:val="000000"/>
          <w:sz w:val="24"/>
          <w:szCs w:val="24"/>
        </w:rPr>
        <w:t>Halıcıoğlu</w:t>
      </w:r>
      <w:proofErr w:type="spellEnd"/>
      <w:r w:rsidR="00C144FD" w:rsidRPr="00C42BF6">
        <w:rPr>
          <w:rFonts w:ascii="Arial" w:eastAsia="Arial" w:hAnsi="Arial" w:cs="Arial"/>
          <w:color w:val="000000"/>
          <w:sz w:val="24"/>
          <w:szCs w:val="24"/>
        </w:rPr>
        <w:t xml:space="preserve"> Data Science Institute, and Center for Microbiome Innovation, </w:t>
      </w:r>
      <w:r w:rsidRPr="00C42BF6">
        <w:rPr>
          <w:rFonts w:ascii="Arial" w:eastAsia="Arial" w:hAnsi="Arial" w:cs="Arial"/>
          <w:color w:val="000000"/>
          <w:sz w:val="24"/>
          <w:szCs w:val="24"/>
        </w:rPr>
        <w:t>University of California San Diego, La Jolla, CA</w:t>
      </w:r>
      <w:r w:rsidRPr="00C42BF6">
        <w:rPr>
          <w:rFonts w:ascii="Arial" w:eastAsia="Arial" w:hAnsi="Arial" w:cs="Arial"/>
          <w:color w:val="000000"/>
          <w:sz w:val="24"/>
          <w:szCs w:val="24"/>
          <w:vertAlign w:val="superscript"/>
        </w:rPr>
        <w:t xml:space="preserve"> </w:t>
      </w:r>
    </w:p>
    <w:p w14:paraId="7A33A0D6" w14:textId="77777777" w:rsidR="00FF30AE" w:rsidRPr="00C42BF6" w:rsidRDefault="00FF30AE" w:rsidP="00FF30AE">
      <w:pPr>
        <w:spacing w:line="360" w:lineRule="auto"/>
        <w:jc w:val="center"/>
        <w:rPr>
          <w:rFonts w:ascii="Arial" w:eastAsia="Arial" w:hAnsi="Arial" w:cs="Arial"/>
          <w:color w:val="000000"/>
          <w:sz w:val="24"/>
          <w:szCs w:val="24"/>
        </w:rPr>
      </w:pPr>
      <w:r w:rsidRPr="00C42BF6">
        <w:rPr>
          <w:rFonts w:ascii="Arial" w:eastAsia="Arial" w:hAnsi="Arial" w:cs="Arial"/>
          <w:color w:val="000000"/>
          <w:sz w:val="24"/>
          <w:szCs w:val="24"/>
          <w:vertAlign w:val="superscript"/>
        </w:rPr>
        <w:t xml:space="preserve">5 </w:t>
      </w:r>
      <w:r w:rsidRPr="00C42BF6">
        <w:rPr>
          <w:rFonts w:ascii="Arial" w:eastAsia="Arial" w:hAnsi="Arial" w:cs="Arial"/>
          <w:color w:val="000000"/>
          <w:sz w:val="24"/>
          <w:szCs w:val="24"/>
        </w:rPr>
        <w:t>Division of Renal Diseases and Hypertension, Department of Medicine, University of Colorado Denver Anschutz Medical Campus, Aurora, CO</w:t>
      </w:r>
    </w:p>
    <w:p w14:paraId="29AE37F1" w14:textId="77777777" w:rsidR="00FF30AE" w:rsidRPr="00C42BF6" w:rsidRDefault="00FF30AE" w:rsidP="00FF30AE">
      <w:pPr>
        <w:spacing w:line="360" w:lineRule="auto"/>
        <w:jc w:val="center"/>
        <w:rPr>
          <w:rFonts w:ascii="Arial" w:eastAsia="Arial" w:hAnsi="Arial" w:cs="Arial"/>
          <w:color w:val="000000"/>
          <w:sz w:val="24"/>
          <w:szCs w:val="24"/>
        </w:rPr>
      </w:pPr>
      <w:r w:rsidRPr="00C42BF6">
        <w:rPr>
          <w:rFonts w:ascii="Arial" w:eastAsia="Arial" w:hAnsi="Arial" w:cs="Arial"/>
          <w:color w:val="000000"/>
          <w:sz w:val="24"/>
          <w:szCs w:val="24"/>
        </w:rPr>
        <w:t>*These two authors contributed equally to this work</w:t>
      </w:r>
    </w:p>
    <w:p w14:paraId="1BA4D851" w14:textId="77777777" w:rsidR="00B050E9" w:rsidRPr="00C42BF6" w:rsidRDefault="00B050E9" w:rsidP="00FF30AE">
      <w:pPr>
        <w:spacing w:line="360" w:lineRule="auto"/>
        <w:jc w:val="center"/>
        <w:rPr>
          <w:rFonts w:ascii="Arial" w:eastAsia="Arial" w:hAnsi="Arial" w:cs="Arial"/>
          <w:color w:val="000000"/>
          <w:sz w:val="24"/>
          <w:szCs w:val="24"/>
        </w:rPr>
      </w:pPr>
    </w:p>
    <w:p w14:paraId="1E0B6502" w14:textId="77777777" w:rsidR="00FF30AE" w:rsidRPr="00C42BF6" w:rsidRDefault="00FF30AE" w:rsidP="00FF30AE">
      <w:pPr>
        <w:spacing w:after="0" w:line="240" w:lineRule="auto"/>
        <w:rPr>
          <w:rFonts w:ascii="Arial" w:eastAsia="Arial" w:hAnsi="Arial" w:cs="Arial"/>
          <w:b/>
          <w:bCs/>
          <w:color w:val="000000"/>
          <w:sz w:val="24"/>
          <w:szCs w:val="24"/>
        </w:rPr>
      </w:pPr>
      <w:r w:rsidRPr="00C42BF6">
        <w:rPr>
          <w:rFonts w:ascii="Arial" w:eastAsia="Arial" w:hAnsi="Arial" w:cs="Arial"/>
          <w:b/>
          <w:bCs/>
          <w:color w:val="000000"/>
          <w:sz w:val="24"/>
          <w:szCs w:val="24"/>
        </w:rPr>
        <w:t>CORRESPONDING AUTHOR:</w:t>
      </w:r>
    </w:p>
    <w:p w14:paraId="362EBF71" w14:textId="77777777" w:rsidR="00FF30AE" w:rsidRPr="00C42BF6" w:rsidRDefault="00FF30AE" w:rsidP="00FF30AE">
      <w:pPr>
        <w:spacing w:after="0" w:line="240" w:lineRule="auto"/>
        <w:rPr>
          <w:rFonts w:ascii="Arial" w:eastAsia="Arial" w:hAnsi="Arial" w:cs="Arial"/>
          <w:color w:val="000000"/>
          <w:sz w:val="24"/>
          <w:szCs w:val="24"/>
        </w:rPr>
      </w:pPr>
      <w:r w:rsidRPr="00C42BF6">
        <w:rPr>
          <w:rFonts w:ascii="Arial" w:eastAsia="Arial" w:hAnsi="Arial" w:cs="Arial"/>
          <w:color w:val="000000"/>
          <w:sz w:val="24"/>
          <w:szCs w:val="24"/>
        </w:rPr>
        <w:t>Vienna E. Brunt, Ph.D.</w:t>
      </w:r>
    </w:p>
    <w:p w14:paraId="3A7310FE" w14:textId="77777777" w:rsidR="00FF30AE" w:rsidRPr="00C42BF6" w:rsidRDefault="00FF30AE" w:rsidP="00FF30AE">
      <w:pPr>
        <w:spacing w:after="0" w:line="240" w:lineRule="auto"/>
        <w:rPr>
          <w:rFonts w:ascii="Arial" w:eastAsia="Arial" w:hAnsi="Arial" w:cs="Arial"/>
          <w:color w:val="000000"/>
          <w:sz w:val="24"/>
          <w:szCs w:val="24"/>
        </w:rPr>
      </w:pPr>
      <w:r w:rsidRPr="00C42BF6">
        <w:rPr>
          <w:rFonts w:ascii="Arial" w:eastAsia="Arial" w:hAnsi="Arial" w:cs="Arial"/>
          <w:color w:val="000000"/>
          <w:sz w:val="24"/>
          <w:szCs w:val="24"/>
        </w:rPr>
        <w:t xml:space="preserve">University of Colorado Anschutz Medical Campus </w:t>
      </w:r>
    </w:p>
    <w:p w14:paraId="6B5FA9ED" w14:textId="77777777" w:rsidR="00FF30AE" w:rsidRPr="00C42BF6" w:rsidRDefault="00FF30AE" w:rsidP="009463A4">
      <w:pPr>
        <w:spacing w:after="0" w:line="240" w:lineRule="auto"/>
        <w:rPr>
          <w:rFonts w:ascii="Arial" w:eastAsia="Arial" w:hAnsi="Arial" w:cs="Arial"/>
          <w:color w:val="000000"/>
          <w:sz w:val="24"/>
          <w:szCs w:val="24"/>
        </w:rPr>
      </w:pPr>
      <w:r w:rsidRPr="00C42BF6">
        <w:rPr>
          <w:rFonts w:ascii="Arial" w:eastAsia="Arial" w:hAnsi="Arial" w:cs="Arial"/>
          <w:color w:val="000000"/>
          <w:sz w:val="24"/>
          <w:szCs w:val="24"/>
        </w:rPr>
        <w:t>Department of Medicine</w:t>
      </w:r>
    </w:p>
    <w:p w14:paraId="5006D824" w14:textId="77777777" w:rsidR="00FF30AE" w:rsidRPr="00C42BF6" w:rsidRDefault="00FF30AE" w:rsidP="00FF30AE">
      <w:pPr>
        <w:spacing w:after="0" w:line="240" w:lineRule="auto"/>
        <w:rPr>
          <w:rFonts w:ascii="Arial" w:eastAsia="Arial" w:hAnsi="Arial" w:cs="Arial"/>
          <w:color w:val="000000"/>
          <w:sz w:val="24"/>
          <w:szCs w:val="24"/>
        </w:rPr>
      </w:pPr>
      <w:r w:rsidRPr="00C42BF6">
        <w:rPr>
          <w:rFonts w:ascii="Arial" w:eastAsia="Arial" w:hAnsi="Arial" w:cs="Arial"/>
          <w:color w:val="000000"/>
          <w:sz w:val="24"/>
          <w:szCs w:val="24"/>
        </w:rPr>
        <w:t xml:space="preserve">Division of Renal Diseases and Hypertension </w:t>
      </w:r>
    </w:p>
    <w:p w14:paraId="319EBE69" w14:textId="77777777" w:rsidR="00FF30AE" w:rsidRPr="00C42BF6" w:rsidRDefault="00FF30AE" w:rsidP="00FF30AE">
      <w:pPr>
        <w:spacing w:after="0" w:line="240" w:lineRule="auto"/>
        <w:rPr>
          <w:rFonts w:ascii="Arial" w:eastAsia="Arial" w:hAnsi="Arial" w:cs="Arial"/>
          <w:color w:val="000000"/>
          <w:sz w:val="24"/>
          <w:szCs w:val="24"/>
        </w:rPr>
      </w:pPr>
      <w:r w:rsidRPr="00C42BF6">
        <w:rPr>
          <w:rFonts w:ascii="Arial" w:eastAsia="Arial" w:hAnsi="Arial" w:cs="Arial"/>
          <w:color w:val="000000"/>
          <w:sz w:val="24"/>
          <w:szCs w:val="24"/>
        </w:rPr>
        <w:t xml:space="preserve">12700 E 19th Ave., C281, Aurora, CO 80045, USA </w:t>
      </w:r>
    </w:p>
    <w:p w14:paraId="31FB9A1D" w14:textId="77777777" w:rsidR="00FF30AE" w:rsidRPr="00C42BF6" w:rsidRDefault="00FF30AE" w:rsidP="00FF30AE">
      <w:pPr>
        <w:spacing w:after="0" w:line="240" w:lineRule="auto"/>
        <w:rPr>
          <w:rFonts w:ascii="Arial" w:eastAsia="Arial" w:hAnsi="Arial" w:cs="Arial"/>
          <w:color w:val="000000"/>
          <w:sz w:val="24"/>
          <w:szCs w:val="24"/>
        </w:rPr>
      </w:pPr>
      <w:r w:rsidRPr="00C42BF6">
        <w:rPr>
          <w:rFonts w:ascii="Arial" w:eastAsia="Arial" w:hAnsi="Arial" w:cs="Arial"/>
          <w:color w:val="000000"/>
          <w:sz w:val="24"/>
          <w:szCs w:val="24"/>
        </w:rPr>
        <w:t>Phone: 303-724-4898</w:t>
      </w:r>
    </w:p>
    <w:p w14:paraId="1C540774" w14:textId="77777777" w:rsidR="00FF30AE" w:rsidRPr="00C42BF6" w:rsidRDefault="00FF30AE" w:rsidP="00FF30AE">
      <w:pPr>
        <w:spacing w:after="0" w:line="240" w:lineRule="auto"/>
        <w:rPr>
          <w:rFonts w:ascii="Arial" w:eastAsia="Arial" w:hAnsi="Arial" w:cs="Arial"/>
          <w:color w:val="000000"/>
          <w:sz w:val="24"/>
          <w:szCs w:val="24"/>
        </w:rPr>
      </w:pPr>
      <w:r w:rsidRPr="00C42BF6">
        <w:rPr>
          <w:rFonts w:ascii="Arial" w:eastAsia="Arial" w:hAnsi="Arial" w:cs="Arial"/>
          <w:color w:val="000000"/>
          <w:sz w:val="24"/>
          <w:szCs w:val="24"/>
        </w:rPr>
        <w:t xml:space="preserve">Email: </w:t>
      </w:r>
      <w:hyperlink r:id="rId7" w:history="1">
        <w:r w:rsidRPr="00C42BF6">
          <w:rPr>
            <w:rStyle w:val="Hyperlink"/>
            <w:rFonts w:ascii="Arial" w:eastAsia="Arial" w:hAnsi="Arial" w:cs="Arial"/>
            <w:color w:val="000000"/>
            <w:sz w:val="24"/>
            <w:szCs w:val="24"/>
          </w:rPr>
          <w:t>vienna.brunt@cuanschutz.edu</w:t>
        </w:r>
      </w:hyperlink>
      <w:r w:rsidRPr="00C42BF6">
        <w:rPr>
          <w:rFonts w:ascii="Arial" w:eastAsia="Arial" w:hAnsi="Arial" w:cs="Arial"/>
          <w:color w:val="000000"/>
          <w:sz w:val="24"/>
          <w:szCs w:val="24"/>
        </w:rPr>
        <w:t xml:space="preserve"> </w:t>
      </w:r>
    </w:p>
    <w:p w14:paraId="5EAEBA77" w14:textId="77777777" w:rsidR="00BA3F62" w:rsidRPr="00C42BF6" w:rsidRDefault="00BA3F62" w:rsidP="00FF30AE">
      <w:pPr>
        <w:spacing w:after="0" w:line="240" w:lineRule="auto"/>
        <w:rPr>
          <w:rFonts w:ascii="Arial" w:eastAsia="Arial" w:hAnsi="Arial" w:cs="Arial"/>
          <w:color w:val="000000"/>
          <w:sz w:val="24"/>
          <w:szCs w:val="24"/>
        </w:rPr>
      </w:pPr>
    </w:p>
    <w:p w14:paraId="70345273" w14:textId="77777777" w:rsidR="00BA3F62" w:rsidRPr="00C42BF6" w:rsidRDefault="00BA3F62" w:rsidP="00FF30AE">
      <w:pPr>
        <w:spacing w:after="0" w:line="240" w:lineRule="auto"/>
        <w:rPr>
          <w:rFonts w:ascii="Arial" w:eastAsia="Arial" w:hAnsi="Arial" w:cs="Arial"/>
          <w:color w:val="000000"/>
          <w:sz w:val="24"/>
          <w:szCs w:val="24"/>
        </w:rPr>
      </w:pPr>
    </w:p>
    <w:p w14:paraId="224C0336" w14:textId="77777777" w:rsidR="00CF4A98" w:rsidRPr="00C42BF6" w:rsidRDefault="00A355EE" w:rsidP="00FF30AE">
      <w:pPr>
        <w:spacing w:line="480" w:lineRule="auto"/>
        <w:jc w:val="center"/>
        <w:rPr>
          <w:rFonts w:ascii="Arial" w:eastAsia="Arial" w:hAnsi="Arial" w:cs="Arial"/>
          <w:b/>
          <w:bCs/>
          <w:color w:val="000000"/>
          <w:sz w:val="24"/>
          <w:szCs w:val="24"/>
        </w:rPr>
      </w:pPr>
      <w:r w:rsidRPr="00C42BF6">
        <w:rPr>
          <w:rFonts w:ascii="Arial" w:eastAsia="Arial" w:hAnsi="Arial" w:cs="Arial"/>
          <w:b/>
          <w:bCs/>
          <w:color w:val="000000"/>
          <w:sz w:val="24"/>
          <w:szCs w:val="24"/>
        </w:rPr>
        <w:lastRenderedPageBreak/>
        <w:t xml:space="preserve">DETAILED </w:t>
      </w:r>
      <w:r w:rsidR="00CF4A98" w:rsidRPr="00C42BF6">
        <w:rPr>
          <w:rFonts w:ascii="Arial" w:eastAsia="Arial" w:hAnsi="Arial" w:cs="Arial"/>
          <w:b/>
          <w:bCs/>
          <w:color w:val="000000"/>
          <w:sz w:val="24"/>
          <w:szCs w:val="24"/>
        </w:rPr>
        <w:t>METHODS</w:t>
      </w:r>
    </w:p>
    <w:p w14:paraId="5923E4CA" w14:textId="77777777" w:rsidR="00CF4A98" w:rsidRPr="00C42BF6" w:rsidRDefault="00CF4A98" w:rsidP="00FF30AE">
      <w:pPr>
        <w:spacing w:line="480" w:lineRule="auto"/>
        <w:jc w:val="center"/>
        <w:rPr>
          <w:rFonts w:ascii="Arial" w:eastAsia="Arial" w:hAnsi="Arial" w:cs="Arial"/>
          <w:b/>
          <w:bCs/>
          <w:color w:val="000000"/>
          <w:sz w:val="24"/>
          <w:szCs w:val="24"/>
        </w:rPr>
      </w:pPr>
    </w:p>
    <w:p w14:paraId="510CFFBC" w14:textId="77777777" w:rsidR="00C44D72" w:rsidRPr="00C42BF6" w:rsidRDefault="00C44D72" w:rsidP="00FF30AE">
      <w:pPr>
        <w:spacing w:line="480" w:lineRule="auto"/>
        <w:rPr>
          <w:rFonts w:ascii="Arial" w:eastAsia="Arial" w:hAnsi="Arial" w:cs="Arial"/>
          <w:b/>
          <w:bCs/>
          <w:color w:val="000000"/>
          <w:sz w:val="24"/>
          <w:szCs w:val="24"/>
        </w:rPr>
      </w:pPr>
      <w:r w:rsidRPr="00C42BF6">
        <w:rPr>
          <w:rFonts w:ascii="Arial" w:eastAsia="Arial" w:hAnsi="Arial" w:cs="Arial"/>
          <w:b/>
          <w:bCs/>
          <w:color w:val="000000"/>
          <w:sz w:val="24"/>
          <w:szCs w:val="24"/>
        </w:rPr>
        <w:t>EXPERIMENTAL PROCEDURES</w:t>
      </w:r>
    </w:p>
    <w:p w14:paraId="7ABBADC7" w14:textId="77777777"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t>Fecal sample collection, gDNA extraction, library preparation, and sequencing</w:t>
      </w:r>
    </w:p>
    <w:p w14:paraId="0D06AD5F" w14:textId="32376387" w:rsidR="00C44D72" w:rsidRPr="00C42BF6" w:rsidRDefault="2733920B"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 xml:space="preserve">For fecal sample collection, mice were moved from their home cage to a clean acrylic container free of bedding and allowed to freely move around until defecation. </w:t>
      </w:r>
      <w:r w:rsidR="00C635F7" w:rsidRPr="00C635F7">
        <w:rPr>
          <w:rFonts w:ascii="Arial" w:eastAsia="Arial" w:hAnsi="Arial" w:cs="Arial"/>
          <w:color w:val="000000"/>
          <w:sz w:val="24"/>
          <w:szCs w:val="24"/>
        </w:rPr>
        <w:t>All samples were collected in the morning (~9:00AM).</w:t>
      </w:r>
      <w:r w:rsidR="00C635F7">
        <w:rPr>
          <w:rFonts w:ascii="Arial" w:eastAsia="Arial" w:hAnsi="Arial" w:cs="Arial"/>
          <w:color w:val="000000"/>
          <w:sz w:val="24"/>
          <w:szCs w:val="24"/>
        </w:rPr>
        <w:t xml:space="preserve"> </w:t>
      </w:r>
      <w:r w:rsidRPr="00C42BF6">
        <w:rPr>
          <w:rFonts w:ascii="Arial" w:eastAsia="Arial" w:hAnsi="Arial" w:cs="Arial"/>
          <w:color w:val="000000"/>
          <w:sz w:val="24"/>
          <w:szCs w:val="24"/>
        </w:rPr>
        <w:t xml:space="preserve">Mouse fecal samples were placed in </w:t>
      </w:r>
      <w:proofErr w:type="spellStart"/>
      <w:r w:rsidRPr="00C42BF6">
        <w:rPr>
          <w:rFonts w:ascii="Arial" w:eastAsia="Arial" w:hAnsi="Arial" w:cs="Arial"/>
          <w:color w:val="000000"/>
          <w:sz w:val="24"/>
          <w:szCs w:val="24"/>
        </w:rPr>
        <w:t>DNAase</w:t>
      </w:r>
      <w:proofErr w:type="spellEnd"/>
      <w:r w:rsidRPr="00C42BF6">
        <w:rPr>
          <w:rFonts w:ascii="Arial" w:eastAsia="Arial" w:hAnsi="Arial" w:cs="Arial"/>
          <w:color w:val="000000"/>
          <w:sz w:val="24"/>
          <w:szCs w:val="24"/>
        </w:rPr>
        <w:t xml:space="preserve">- and </w:t>
      </w:r>
      <w:proofErr w:type="spellStart"/>
      <w:r w:rsidRPr="00C42BF6">
        <w:rPr>
          <w:rFonts w:ascii="Arial" w:eastAsia="Arial" w:hAnsi="Arial" w:cs="Arial"/>
          <w:color w:val="000000"/>
          <w:sz w:val="24"/>
          <w:szCs w:val="24"/>
        </w:rPr>
        <w:t>RNAase</w:t>
      </w:r>
      <w:proofErr w:type="spellEnd"/>
      <w:r w:rsidRPr="00C42BF6">
        <w:rPr>
          <w:rFonts w:ascii="Arial" w:eastAsia="Arial" w:hAnsi="Arial" w:cs="Arial"/>
          <w:color w:val="000000"/>
          <w:sz w:val="24"/>
          <w:szCs w:val="24"/>
        </w:rPr>
        <w:t xml:space="preserve">-free </w:t>
      </w:r>
      <w:r w:rsidR="00B44BA0" w:rsidRPr="00C42BF6">
        <w:rPr>
          <w:rFonts w:ascii="Arial" w:eastAsia="Arial" w:hAnsi="Arial" w:cs="Arial"/>
          <w:color w:val="000000"/>
          <w:sz w:val="24"/>
          <w:szCs w:val="24"/>
        </w:rPr>
        <w:t xml:space="preserve">Eppendorf </w:t>
      </w:r>
      <w:r w:rsidRPr="00C42BF6">
        <w:rPr>
          <w:rFonts w:ascii="Arial" w:eastAsia="Arial" w:hAnsi="Arial" w:cs="Arial"/>
          <w:color w:val="000000"/>
          <w:sz w:val="24"/>
          <w:szCs w:val="24"/>
        </w:rPr>
        <w:t>tubes immediately following excretion, flash frozen and stored at -80°C. Samples were shipped to collaborators in the Knight Lab at University of California San Diego. Fecal samples were transferred into 96-well extraction plates (</w:t>
      </w:r>
      <w:proofErr w:type="spellStart"/>
      <w:r w:rsidRPr="00C42BF6">
        <w:rPr>
          <w:rFonts w:ascii="Arial" w:eastAsia="Arial" w:hAnsi="Arial" w:cs="Arial"/>
          <w:color w:val="000000"/>
          <w:sz w:val="24"/>
          <w:szCs w:val="24"/>
        </w:rPr>
        <w:t>MagMAX</w:t>
      </w:r>
      <w:proofErr w:type="spellEnd"/>
      <w:r w:rsidRPr="00C42BF6">
        <w:rPr>
          <w:rFonts w:ascii="Arial" w:eastAsia="Arial" w:hAnsi="Arial" w:cs="Arial"/>
          <w:color w:val="000000"/>
          <w:sz w:val="24"/>
          <w:szCs w:val="24"/>
        </w:rPr>
        <w:t xml:space="preserve"> Microbiome Bead Plate; </w:t>
      </w:r>
      <w:proofErr w:type="spellStart"/>
      <w:r w:rsidRPr="00C42BF6">
        <w:rPr>
          <w:rFonts w:ascii="Arial" w:eastAsia="Arial" w:hAnsi="Arial" w:cs="Arial"/>
          <w:color w:val="000000"/>
          <w:sz w:val="24"/>
          <w:szCs w:val="24"/>
        </w:rPr>
        <w:t>ThermoFisher</w:t>
      </w:r>
      <w:proofErr w:type="spellEnd"/>
      <w:r w:rsidRPr="00C42BF6">
        <w:rPr>
          <w:rFonts w:ascii="Arial" w:eastAsia="Arial" w:hAnsi="Arial" w:cs="Arial"/>
          <w:color w:val="000000"/>
          <w:sz w:val="24"/>
          <w:szCs w:val="24"/>
        </w:rPr>
        <w:t xml:space="preserve"> Scientific, Waltham, MA; Cat# A42331). gDNA extraction (</w:t>
      </w:r>
      <w:proofErr w:type="spellStart"/>
      <w:r w:rsidRPr="00C42BF6">
        <w:rPr>
          <w:rFonts w:ascii="Arial" w:eastAsia="Arial" w:hAnsi="Arial" w:cs="Arial"/>
          <w:color w:val="000000"/>
          <w:sz w:val="24"/>
          <w:szCs w:val="24"/>
        </w:rPr>
        <w:t>MagMAX</w:t>
      </w:r>
      <w:proofErr w:type="spellEnd"/>
      <w:r w:rsidRPr="00C42BF6">
        <w:rPr>
          <w:rFonts w:ascii="Arial" w:eastAsia="Arial" w:hAnsi="Arial" w:cs="Arial"/>
          <w:color w:val="000000"/>
          <w:sz w:val="24"/>
          <w:szCs w:val="24"/>
        </w:rPr>
        <w:t xml:space="preserve"> Microbiome Ultra Nucleic Acid Isolation Kit; </w:t>
      </w:r>
      <w:proofErr w:type="spellStart"/>
      <w:r w:rsidRPr="00C42BF6">
        <w:rPr>
          <w:rFonts w:ascii="Arial" w:eastAsia="Arial" w:hAnsi="Arial" w:cs="Arial"/>
          <w:color w:val="000000"/>
          <w:sz w:val="24"/>
          <w:szCs w:val="24"/>
        </w:rPr>
        <w:t>ThermoFisher</w:t>
      </w:r>
      <w:proofErr w:type="spellEnd"/>
      <w:r w:rsidRPr="00C42BF6">
        <w:rPr>
          <w:rFonts w:ascii="Arial" w:eastAsia="Arial" w:hAnsi="Arial" w:cs="Arial"/>
          <w:color w:val="000000"/>
          <w:sz w:val="24"/>
          <w:szCs w:val="24"/>
        </w:rPr>
        <w:t xml:space="preserve"> Scientific; Cat # A42357) was performed using Earth Microbiome Project standard protocols</w:t>
      </w:r>
      <w:r w:rsidR="00D60E0B" w:rsidRPr="00C42BF6">
        <w:rPr>
          <w:rFonts w:ascii="Arial" w:eastAsia="Arial" w:hAnsi="Arial" w:cs="Arial"/>
          <w:color w:val="000000"/>
          <w:sz w:val="24"/>
          <w:szCs w:val="24"/>
        </w:rPr>
        <w:fldChar w:fldCharType="begin"/>
      </w:r>
      <w:r w:rsidR="00D60E0B" w:rsidRPr="00C42BF6">
        <w:rPr>
          <w:rFonts w:ascii="Arial" w:eastAsia="Arial" w:hAnsi="Arial" w:cs="Arial"/>
          <w:color w:val="000000"/>
          <w:sz w:val="24"/>
          <w:szCs w:val="24"/>
        </w:rPr>
        <w:instrText xml:space="preserve"> ADDIN ZOTERO_ITEM CSL_CITATION {"citationID":"biSnbKWy","properties":{"formattedCitation":"\\super 1,2\\nosupersub{}","plainCitation":"1,2","noteIndex":0},"citationItems":[{"id":2773,"uris":["http://zotero.org/users/local/6BakpO76/items/TF4PLEPX"],"itemData":{"id":2773,"type":"article-journal","abstract":"One goal of microbial ecology researchers is to capture the maximum amount of information from all organisms in a sample. The recent COVID-19 pandemic, caused by the RNA virus SARS-CoV-2, has highlighted a gap in traditional DNA-based protocols, including the high-throughput methods the authors previously established as field standards. To enable simultaneous SARS-CoV-2 and microbial community profiling, the authors compared the relative performance of two total nucleic acid extraction protocols with the authors' previously benchmarked protocol. The authors included a diverse panel of environmental and host-associated sample types, including body sites commonly swabbed for COVID-19 testing. Here the authors present results comparing the cost, processing time, DNA and RNA yield, microbial community composition, limit of detection and well-to-well contamination between these protocols.","container-title":"BioTechniques","DOI":"10.2144/btn-2020-0153","ISSN":"1940-9818","issue":"3","journalAbbreviation":"Biotechniques","language":"eng","note":"PMID: 33512248\nPMCID: PMC7931620","page":"149-159","source":"PubMed","title":"A comparison of DNA/RNA extraction protocols for high-throughput sequencing of microbial communities","volume":"70","author":[{"family":"Shaffer","given":"Justin P."},{"family":"Marotz","given":"Clarisse"},{"family":"Belda-Ferre","given":"Pedro"},{"family":"Martino","given":"Cameron"},{"family":"Wandro","given":"Stephen"},{"family":"Estaki","given":"Mehrbod"},{"family":"Salido","given":"Rodolfo A."},{"family":"Carpenter","given":"Carolina S."},{"family":"Zaramela","given":"Livia S."},{"family":"Minich","given":"Jeremiah J."},{"family":"Bryant","given":"MacKenzie"},{"family":"Sanders","given":"Karenina"},{"family":"Fraraccio","given":"Serena"},{"family":"Ackermann","given":"Gail"},{"family":"Humphrey","given":"Gregory"},{"family":"Swafford","given":"Austin D."},{"family":"Miller-Montgomery","given":"Sandrine"},{"family":"Knight","given":"Rob"}],"issued":{"date-parts":[["2021",3]]}}},{"id":2770,"uris":["http://zotero.org/users/local/6BakpO76/items/BHXZXJZU"],"itemData":{"id":2770,"type":"article-journal","abstract":"A major bottleneck for metagenomic sequencing is rapid and efficient DNA extraction. Here, we compare the extraction efficiencies of three magnetic bead-based platforms (KingFisher, epMotion, and Tecan) to a standardized column-based extraction platform across a variety of sample types, including feces, oral, skin, soil, and water. Replicate sample plates were extracted and prepared for 16S rRNA gene amplicon sequencing in parallel to assess extraction bias and DNA quality. The data demonstrate that any effect of extraction method on sequencing results was small compared with the variability across samples; however, the KingFisher platform produced the largest number of high-quality reads in the shortest amount of time. Based on these results, we have identified an extraction pipeline that dramatically reduces sample processing time without sacrificing bacterial taxonomic or abundance information.","container-title":"BioTechniques","DOI":"10.2144/000114559","ISSN":"1940-9818","issue":"6","journalAbbreviation":"Biotechniques","language":"eng","note":"PMID: 28625159","page":"290-293","source":"PubMed","title":"DNA extraction for streamlined metagenomics of diverse environmental samples","volume":"62","author":[{"family":"Marotz","given":"Clarisse"},{"family":"Amir","given":"Amnon"},{"family":"Humphrey","given":"Greg"},{"family":"Gaffney","given":"James"},{"family":"Gogul","given":"Grant"},{"family":"Knight","given":"Rob"}],"issued":{"date-parts":[["2017",6,1]]}}}],"schema":"https://github.com/citation-style-language/schema/raw/master/csl-citation.json"} </w:instrText>
      </w:r>
      <w:r w:rsidR="00D60E0B" w:rsidRPr="00C42BF6">
        <w:rPr>
          <w:rFonts w:ascii="Arial" w:eastAsia="Arial" w:hAnsi="Arial" w:cs="Arial"/>
          <w:color w:val="000000"/>
          <w:sz w:val="24"/>
          <w:szCs w:val="24"/>
        </w:rPr>
        <w:fldChar w:fldCharType="separate"/>
      </w:r>
      <w:r w:rsidR="00D60E0B" w:rsidRPr="00C42BF6">
        <w:rPr>
          <w:rFonts w:ascii="Arial" w:hAnsi="Arial" w:cs="Arial"/>
          <w:color w:val="000000"/>
          <w:sz w:val="24"/>
          <w:szCs w:val="24"/>
          <w:vertAlign w:val="superscript"/>
        </w:rPr>
        <w:t>1,2</w:t>
      </w:r>
      <w:r w:rsidR="00D60E0B"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Metagenomics Library Preparation Extracted gDNA was quantified (Quant-</w:t>
      </w:r>
      <w:proofErr w:type="spellStart"/>
      <w:r w:rsidRPr="00C42BF6">
        <w:rPr>
          <w:rFonts w:ascii="Arial" w:eastAsia="Arial" w:hAnsi="Arial" w:cs="Arial"/>
          <w:color w:val="000000"/>
          <w:sz w:val="24"/>
          <w:szCs w:val="24"/>
        </w:rPr>
        <w:t>iT</w:t>
      </w:r>
      <w:proofErr w:type="spellEnd"/>
      <w:r w:rsidRPr="00C42BF6">
        <w:rPr>
          <w:rFonts w:ascii="Arial" w:eastAsia="Arial" w:hAnsi="Arial" w:cs="Arial"/>
          <w:color w:val="000000"/>
          <w:sz w:val="24"/>
          <w:szCs w:val="24"/>
        </w:rPr>
        <w:t xml:space="preserve"> </w:t>
      </w:r>
      <w:proofErr w:type="spellStart"/>
      <w:r w:rsidRPr="00C42BF6">
        <w:rPr>
          <w:rFonts w:ascii="Arial" w:eastAsia="Arial" w:hAnsi="Arial" w:cs="Arial"/>
          <w:color w:val="000000"/>
          <w:sz w:val="24"/>
          <w:szCs w:val="24"/>
        </w:rPr>
        <w:t>PicoGreen</w:t>
      </w:r>
      <w:proofErr w:type="spellEnd"/>
      <w:r w:rsidRPr="00C42BF6">
        <w:rPr>
          <w:rFonts w:ascii="Arial" w:eastAsia="Arial" w:hAnsi="Arial" w:cs="Arial"/>
          <w:color w:val="000000"/>
          <w:sz w:val="24"/>
          <w:szCs w:val="24"/>
        </w:rPr>
        <w:t xml:space="preserve"> dsDNA Assay Kit; Invitrogen, Waltham, MA; Cat# P11496) and each sample was normalized based on concentration before performing a high-throughput miniaturized metagenomics library preparation (KAPA </w:t>
      </w:r>
      <w:proofErr w:type="spellStart"/>
      <w:r w:rsidRPr="00C42BF6">
        <w:rPr>
          <w:rFonts w:ascii="Arial" w:eastAsia="Arial" w:hAnsi="Arial" w:cs="Arial"/>
          <w:color w:val="000000"/>
          <w:sz w:val="24"/>
          <w:szCs w:val="24"/>
        </w:rPr>
        <w:t>HyperPlus</w:t>
      </w:r>
      <w:proofErr w:type="spellEnd"/>
      <w:r w:rsidRPr="00C42BF6">
        <w:rPr>
          <w:rFonts w:ascii="Arial" w:eastAsia="Arial" w:hAnsi="Arial" w:cs="Arial"/>
          <w:color w:val="000000"/>
          <w:sz w:val="24"/>
          <w:szCs w:val="24"/>
        </w:rPr>
        <w:t xml:space="preserve"> Kit 96rxn, 7962428001, Roche, Basal, Switzerland)</w:t>
      </w:r>
      <w:r w:rsidR="00D60E0B" w:rsidRPr="00C42BF6">
        <w:rPr>
          <w:rFonts w:ascii="Arial" w:eastAsia="Arial" w:hAnsi="Arial" w:cs="Arial"/>
          <w:color w:val="000000"/>
          <w:sz w:val="24"/>
          <w:szCs w:val="24"/>
        </w:rPr>
        <w:fldChar w:fldCharType="begin"/>
      </w:r>
      <w:r w:rsidR="00D60E0B" w:rsidRPr="00C42BF6">
        <w:rPr>
          <w:rFonts w:ascii="Arial" w:eastAsia="Arial" w:hAnsi="Arial" w:cs="Arial"/>
          <w:color w:val="000000"/>
          <w:sz w:val="24"/>
          <w:szCs w:val="24"/>
        </w:rPr>
        <w:instrText xml:space="preserve"> ADDIN ZOTERO_ITEM CSL_CITATION {"citationID":"cKlICSvC","properties":{"formattedCitation":"\\super 3\\nosupersub{}","plainCitation":"3","noteIndex":0},"citationItems":[{"id":2815,"uris":["http://zotero.org/users/local/6BakpO76/items/ID85Q452"],"itemData":{"id":2815,"type":"article-journal","abstract":"As metagenomic studies move to increasing numbers of samples, communities like the human gut may benefit more from the assembly of abundant microbes in many samples, rather than the exhaustive assembly of fewer samples. We term this approach leaderboard metagenome sequencing. To explore protocol optimization for leaderboard metagenomics in real samples, we introduce a benchmark of library prep and sequencing using internal references generated by synthetic long-read technology, allowing us to evaluate high-throughput library preparation methods against gold-standard reference genomes derived from the samples themselves. We introduce a low-cost protocol for high-throughput library preparation and sequencing.","container-title":"Genome Biology","DOI":"10.1186/s13059-019-1834-9","ISSN":"1474-760X","issue":"1","journalAbbreviation":"Genome Biol","language":"eng","note":"PMID: 31672156\nPMCID: PMC6822431","page":"226","source":"PubMed","title":"Optimizing sequencing protocols for leaderboard metagenomics by combining long and short reads","volume":"20","author":[{"family":"Sanders","given":"Jon G."},{"family":"Nurk","given":"Sergey"},{"family":"Salido","given":"Rodolfo A."},{"family":"Minich","given":"Jeremiah"},{"family":"Xu","given":"Zhenjiang Z."},{"family":"Zhu","given":"Qiyun"},{"family":"Martino","given":"Cameron"},{"family":"Fedarko","given":"Marcus"},{"family":"Arthur","given":"Timothy D."},{"family":"Chen","given":"Feng"},{"family":"Boland","given":"Brigid S."},{"family":"Humphrey","given":"Greg C."},{"family":"Brennan","given":"Caitriona"},{"family":"Sanders","given":"Karenina"},{"family":"Gaffney","given":"James"},{"family":"Jepsen","given":"Kristen"},{"family":"Khosroheidari","given":"Mahdieh"},{"family":"Green","given":"Cliff"},{"family":"Liyanage","given":"Marlon"},{"family":"Dang","given":"Jason W."},{"family":"Phelan","given":"Vanessa V."},{"family":"Quinn","given":"Robert A."},{"family":"Bankevich","given":"Anton"},{"family":"Chang","given":"John T."},{"family":"Rana","given":"Tariq M."},{"family":"Conrad","given":"Douglas J."},{"family":"Sandborn","given":"William J."},{"family":"Smarr","given":"Larry"},{"family":"Dorrestein","given":"Pieter C."},{"family":"Pevzner","given":"Pavel A."},{"family":"Knight","given":"Rob"}],"issued":{"date-parts":[["2019",10,31]]}}}],"schema":"https://github.com/citation-style-language/schema/raw/master/csl-citation.json"} </w:instrText>
      </w:r>
      <w:r w:rsidR="00D60E0B" w:rsidRPr="00C42BF6">
        <w:rPr>
          <w:rFonts w:ascii="Arial" w:eastAsia="Arial" w:hAnsi="Arial" w:cs="Arial"/>
          <w:color w:val="000000"/>
          <w:sz w:val="24"/>
          <w:szCs w:val="24"/>
        </w:rPr>
        <w:fldChar w:fldCharType="separate"/>
      </w:r>
      <w:r w:rsidR="00D60E0B" w:rsidRPr="00C42BF6">
        <w:rPr>
          <w:rFonts w:ascii="Arial" w:hAnsi="Arial" w:cs="Arial"/>
          <w:color w:val="000000"/>
          <w:sz w:val="24"/>
          <w:szCs w:val="24"/>
          <w:vertAlign w:val="superscript"/>
        </w:rPr>
        <w:t>3</w:t>
      </w:r>
      <w:r w:rsidR="00D60E0B"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Clean library was quantified, equal volume pooled, PCR cleaned (</w:t>
      </w:r>
      <w:proofErr w:type="spellStart"/>
      <w:r w:rsidRPr="00C42BF6">
        <w:rPr>
          <w:rFonts w:ascii="Arial" w:eastAsia="Arial" w:hAnsi="Arial" w:cs="Arial"/>
          <w:color w:val="000000"/>
          <w:sz w:val="24"/>
          <w:szCs w:val="24"/>
        </w:rPr>
        <w:t>QIAquick</w:t>
      </w:r>
      <w:proofErr w:type="spellEnd"/>
      <w:r w:rsidRPr="00C42BF6">
        <w:rPr>
          <w:rFonts w:ascii="Arial" w:eastAsia="Arial" w:hAnsi="Arial" w:cs="Arial"/>
          <w:color w:val="000000"/>
          <w:sz w:val="24"/>
          <w:szCs w:val="24"/>
        </w:rPr>
        <w:t xml:space="preserve"> PCR Purification Kit; Qiagen, Germantown, Maryland; Cat# 28106), size selected from 250-750bp (</w:t>
      </w:r>
      <w:proofErr w:type="spellStart"/>
      <w:r w:rsidRPr="00C42BF6">
        <w:rPr>
          <w:rFonts w:ascii="Arial" w:eastAsia="Arial" w:hAnsi="Arial" w:cs="Arial"/>
          <w:color w:val="000000"/>
          <w:sz w:val="24"/>
          <w:szCs w:val="24"/>
        </w:rPr>
        <w:t>PippinHT</w:t>
      </w:r>
      <w:proofErr w:type="spellEnd"/>
      <w:r w:rsidRPr="00C42BF6">
        <w:rPr>
          <w:rFonts w:ascii="Arial" w:eastAsia="Arial" w:hAnsi="Arial" w:cs="Arial"/>
          <w:color w:val="000000"/>
          <w:sz w:val="24"/>
          <w:szCs w:val="24"/>
        </w:rPr>
        <w:t xml:space="preserve">, Sage Science, Beverly, MA), and sequenced on an </w:t>
      </w:r>
      <w:proofErr w:type="spellStart"/>
      <w:r w:rsidRPr="00C42BF6">
        <w:rPr>
          <w:rFonts w:ascii="Arial" w:eastAsia="Arial" w:hAnsi="Arial" w:cs="Arial"/>
          <w:color w:val="000000"/>
          <w:sz w:val="24"/>
          <w:szCs w:val="24"/>
        </w:rPr>
        <w:t>iSeq</w:t>
      </w:r>
      <w:proofErr w:type="spellEnd"/>
      <w:r w:rsidRPr="00C42BF6">
        <w:rPr>
          <w:rFonts w:ascii="Arial" w:eastAsia="Arial" w:hAnsi="Arial" w:cs="Arial"/>
          <w:color w:val="000000"/>
          <w:sz w:val="24"/>
          <w:szCs w:val="24"/>
        </w:rPr>
        <w:t xml:space="preserve"> 100 (Illumina Inc., San Diego, CA). Clean library was pooled a second time by utilizing the library concentration and read counts </w:t>
      </w:r>
      <w:r w:rsidRPr="00C42BF6">
        <w:rPr>
          <w:rFonts w:ascii="Arial" w:eastAsia="Arial" w:hAnsi="Arial" w:cs="Arial"/>
          <w:color w:val="000000"/>
          <w:sz w:val="24"/>
          <w:szCs w:val="24"/>
        </w:rPr>
        <w:lastRenderedPageBreak/>
        <w:t xml:space="preserve">per sample generated from the </w:t>
      </w:r>
      <w:proofErr w:type="spellStart"/>
      <w:r w:rsidRPr="00C42BF6">
        <w:rPr>
          <w:rFonts w:ascii="Arial" w:eastAsia="Arial" w:hAnsi="Arial" w:cs="Arial"/>
          <w:color w:val="000000"/>
          <w:sz w:val="24"/>
          <w:szCs w:val="24"/>
        </w:rPr>
        <w:t>iSeq</w:t>
      </w:r>
      <w:proofErr w:type="spellEnd"/>
      <w:r w:rsidRPr="00C42BF6">
        <w:rPr>
          <w:rFonts w:ascii="Arial" w:eastAsia="Arial" w:hAnsi="Arial" w:cs="Arial"/>
          <w:color w:val="000000"/>
          <w:sz w:val="24"/>
          <w:szCs w:val="24"/>
        </w:rPr>
        <w:t xml:space="preserve"> to create an </w:t>
      </w:r>
      <w:proofErr w:type="spellStart"/>
      <w:r w:rsidRPr="00C42BF6">
        <w:rPr>
          <w:rFonts w:ascii="Arial" w:eastAsia="Arial" w:hAnsi="Arial" w:cs="Arial"/>
          <w:color w:val="000000"/>
          <w:sz w:val="24"/>
          <w:szCs w:val="24"/>
        </w:rPr>
        <w:t>iSeq</w:t>
      </w:r>
      <w:proofErr w:type="spellEnd"/>
      <w:r w:rsidRPr="00C42BF6">
        <w:rPr>
          <w:rFonts w:ascii="Arial" w:eastAsia="Arial" w:hAnsi="Arial" w:cs="Arial"/>
          <w:color w:val="000000"/>
          <w:sz w:val="24"/>
          <w:szCs w:val="24"/>
        </w:rPr>
        <w:t>-normalized pool</w:t>
      </w:r>
      <w:r w:rsidR="00D60E0B" w:rsidRPr="00C42BF6">
        <w:rPr>
          <w:rFonts w:ascii="Arial" w:eastAsia="Arial" w:hAnsi="Arial" w:cs="Arial"/>
          <w:color w:val="000000"/>
          <w:sz w:val="24"/>
          <w:szCs w:val="24"/>
        </w:rPr>
        <w:fldChar w:fldCharType="begin"/>
      </w:r>
      <w:r w:rsidR="00D60E0B" w:rsidRPr="00C42BF6">
        <w:rPr>
          <w:rFonts w:ascii="Arial" w:eastAsia="Arial" w:hAnsi="Arial" w:cs="Arial"/>
          <w:color w:val="000000"/>
          <w:sz w:val="24"/>
          <w:szCs w:val="24"/>
        </w:rPr>
        <w:instrText xml:space="preserve"> ADDIN ZOTERO_ITEM CSL_CITATION {"citationID":"oMXbBbUI","properties":{"formattedCitation":"\\super 4\\nosupersub{}","plainCitation":"4","noteIndex":0},"citationItems":[{"id":2818,"uris":["http://zotero.org/users/local/6BakpO76/items/J3RWBLXY"],"itemData":{"id":2818,"type":"article-journal","abstract":"Next-generation sequencing technologies have enabled many advances across diverse areas of biology, with many benefiting from increased sample size. Although the cost of running next-generation sequencing instruments has dropped substantially over time, the cost of sample preparation methods has lagged behind. To counter this, researchers have adapted library miniaturization protocols and large sample pools to maximize the number of samples that can be prepared by a certain amount of reagents and sequenced in a single run. However, due to high variability of sample quality, over and underrepresentation of samples in a sequencing run has become a major issue in high-throughput sequencing. This leads to misinterpretation of results due to increased noise, and additional time and cost rerunning underrepresented samples. To overcome this problem, we present a normalization method that uses shallow iSeq sequencing to accurately inform pooling volumes based on read distribution. This method is superior to the widely used fluorometry methods, which cannot specifically target adapter-ligated molecules that contribute to sequencing output. Our normalization method not only quantifies adapter-ligated molecules but also allows normalization of feature space; for example, we can normalize to reads of interest such as non-ribosomal reads. As a result, this normalization method improves the efficiency of high-throughput next-generation sequencing by reducing noise and producing higher average reads per sample with more even sequencing depth. IMPORTANCE High-throughput next generation sequencing (NGS) has significantly contributed to the field of genomics; however, further improvements can maximize the potential of this important tool. Uneven sequencing of samples in a multiplexed run is a common issue that leads to unexpected extra costs or low-quality data. To mitigate this problem, we introduce a normalization method based on read counts rather than library concentration. This method allows for an even distribution of features of interest across samples, improving the statistical power of data sets and preventing the financial loss associated with resequencing libraries. This method optimizes NGS, which already has huge importance across many areas of biology.","container-title":"mSystems","DOI":"10.1128/msystems.00006-23","ISSN":"2379-5077","issue":"4","journalAbbreviation":"mSystems","language":"eng","note":"PMID: 37350611\nPMCID: PMC10469589","page":"e0000623","source":"PubMed","title":"Maximizing the potential of high-throughput next-generation sequencing through precise normalization based on read count distribution","volume":"8","author":[{"family":"Brennan","given":"Caitriona"},{"family":"Salido","given":"Rodolfo A."},{"family":"Belda-Ferre","given":"Pedro"},{"family":"Bryant","given":"MacKenzie"},{"family":"Cowart","given":"Charles"},{"family":"Tiu","given":"Maria D."},{"family":"González","given":"Antonio"},{"family":"McDonald","given":"Daniel"},{"family":"Tribelhorn","given":"Caitlin"},{"family":"Zarrinpar","given":"Amir"},{"family":"Knight","given":"Rob"}],"issued":{"date-parts":[["2023",8,31]]}}}],"schema":"https://github.com/citation-style-language/schema/raw/master/csl-citation.json"} </w:instrText>
      </w:r>
      <w:r w:rsidR="00D60E0B" w:rsidRPr="00C42BF6">
        <w:rPr>
          <w:rFonts w:ascii="Arial" w:eastAsia="Arial" w:hAnsi="Arial" w:cs="Arial"/>
          <w:color w:val="000000"/>
          <w:sz w:val="24"/>
          <w:szCs w:val="24"/>
        </w:rPr>
        <w:fldChar w:fldCharType="separate"/>
      </w:r>
      <w:r w:rsidR="00D60E0B" w:rsidRPr="00C42BF6">
        <w:rPr>
          <w:rFonts w:ascii="Arial" w:hAnsi="Arial" w:cs="Arial"/>
          <w:color w:val="000000"/>
          <w:sz w:val="24"/>
          <w:szCs w:val="24"/>
          <w:vertAlign w:val="superscript"/>
        </w:rPr>
        <w:t>4</w:t>
      </w:r>
      <w:r w:rsidR="00D60E0B"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The </w:t>
      </w:r>
      <w:proofErr w:type="spellStart"/>
      <w:r w:rsidRPr="00C42BF6">
        <w:rPr>
          <w:rFonts w:ascii="Arial" w:eastAsia="Arial" w:hAnsi="Arial" w:cs="Arial"/>
          <w:color w:val="000000"/>
          <w:sz w:val="24"/>
          <w:szCs w:val="24"/>
        </w:rPr>
        <w:t>iSeq</w:t>
      </w:r>
      <w:proofErr w:type="spellEnd"/>
      <w:r w:rsidRPr="00C42BF6">
        <w:rPr>
          <w:rFonts w:ascii="Arial" w:eastAsia="Arial" w:hAnsi="Arial" w:cs="Arial"/>
          <w:color w:val="000000"/>
          <w:sz w:val="24"/>
          <w:szCs w:val="24"/>
        </w:rPr>
        <w:t xml:space="preserve">-normalized pool was PCR cleaned, size selected from 300-700bp, and then sequenced on a </w:t>
      </w:r>
      <w:proofErr w:type="spellStart"/>
      <w:r w:rsidRPr="00C42BF6">
        <w:rPr>
          <w:rFonts w:ascii="Arial" w:eastAsia="Arial" w:hAnsi="Arial" w:cs="Arial"/>
          <w:color w:val="000000"/>
          <w:sz w:val="24"/>
          <w:szCs w:val="24"/>
        </w:rPr>
        <w:t>NovaSeq</w:t>
      </w:r>
      <w:proofErr w:type="spellEnd"/>
      <w:r w:rsidRPr="00C42BF6">
        <w:rPr>
          <w:rFonts w:ascii="Arial" w:eastAsia="Arial" w:hAnsi="Arial" w:cs="Arial"/>
          <w:color w:val="000000"/>
          <w:sz w:val="24"/>
          <w:szCs w:val="24"/>
        </w:rPr>
        <w:t xml:space="preserve"> 6000 with a S4 flow cell and 2x150bp chemistry (Illumina Inc.) at the Institute for Genomic Medicine at the University of California San Diego.</w:t>
      </w:r>
    </w:p>
    <w:p w14:paraId="5435D593" w14:textId="77777777"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t>Taxonomic and functional profiling of raw sequencing data</w:t>
      </w:r>
    </w:p>
    <w:p w14:paraId="304F4DDB" w14:textId="77777777" w:rsidR="00C46C45" w:rsidRPr="00C42BF6" w:rsidRDefault="2733920B"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Raw sequences were deposited in EBI-ENA (</w:t>
      </w:r>
      <w:r w:rsidR="00C06142" w:rsidRPr="00C42BF6">
        <w:rPr>
          <w:rFonts w:ascii="Arial" w:eastAsia="Arial" w:hAnsi="Arial" w:cs="Arial"/>
          <w:color w:val="000000"/>
          <w:sz w:val="24"/>
          <w:szCs w:val="24"/>
        </w:rPr>
        <w:t xml:space="preserve">Accession: </w:t>
      </w:r>
      <w:r w:rsidR="00EB2327" w:rsidRPr="00C42BF6">
        <w:rPr>
          <w:rFonts w:ascii="Arial" w:eastAsia="Arial" w:hAnsi="Arial" w:cs="Arial"/>
          <w:color w:val="000000"/>
          <w:sz w:val="24"/>
          <w:szCs w:val="24"/>
        </w:rPr>
        <w:t>PRJEB70517</w:t>
      </w:r>
      <w:r w:rsidRPr="00C42BF6">
        <w:rPr>
          <w:rFonts w:ascii="Arial" w:eastAsia="Arial" w:hAnsi="Arial" w:cs="Arial"/>
          <w:color w:val="000000"/>
          <w:sz w:val="24"/>
          <w:szCs w:val="24"/>
        </w:rPr>
        <w:t>), uploaded and processed in Qiita</w:t>
      </w:r>
      <w:r w:rsidR="00261583" w:rsidRPr="00C42BF6">
        <w:rPr>
          <w:rFonts w:ascii="Arial" w:eastAsia="Arial" w:hAnsi="Arial" w:cs="Arial"/>
          <w:color w:val="000000"/>
          <w:sz w:val="24"/>
          <w:szCs w:val="24"/>
        </w:rPr>
        <w:fldChar w:fldCharType="begin"/>
      </w:r>
      <w:r w:rsidR="00261583" w:rsidRPr="00C42BF6">
        <w:rPr>
          <w:rFonts w:ascii="Arial" w:eastAsia="Arial" w:hAnsi="Arial" w:cs="Arial"/>
          <w:color w:val="000000"/>
          <w:sz w:val="24"/>
          <w:szCs w:val="24"/>
        </w:rPr>
        <w:instrText xml:space="preserve"> ADDIN ZOTERO_ITEM CSL_CITATION {"citationID":"lBfKbQE9","properties":{"formattedCitation":"\\super 5\\nosupersub{}","plainCitation":"5","noteIndex":0},"citationItems":[{"id":2783,"uris":["http://zotero.org/users/local/6BakpO76/items/BAZZ8WNN"],"itemData":{"id":2783,"type":"article-journal","abstract":"Multi-omic insights into microbiome function and composition typically advance one study at a time. However, in order for relationships across studies to be fully understood, data must be aggregated into meta-analyses. This makes it possible to generate new hypotheses by finding features that are reproducible across biospecimens and data layers. Qiita dramatically accelerates such integration tasks in a web-based microbiome-comparison platform, which we demonstrate with Human Microbiome Project and Integrative Human Microbiome Project (iHMP) data.","container-title":"Nature Methods","DOI":"10.1038/s41592-018-0141-9","ISSN":"1548-7105","issue":"10","journalAbbreviation":"Nat Methods","language":"eng","note":"PMID: 30275573\nPMCID: PMC6235622","page":"796-798","source":"PubMed","title":"Qiita: rapid, web-enabled microbiome meta-analysis","title-short":"Qiita","volume":"15","author":[{"family":"Gonzalez","given":"Antonio"},{"family":"Navas-Molina","given":"Jose A."},{"family":"Kosciolek","given":"Tomasz"},{"family":"McDonald","given":"Daniel"},{"family":"Vázquez-Baeza","given":"Yoshiki"},{"family":"Ackermann","given":"Gail"},{"family":"DeReus","given":"Jeff"},{"family":"Janssen","given":"Stefan"},{"family":"Swafford","given":"Austin D."},{"family":"Orchanian","given":"Stephanie B."},{"family":"Sanders","given":"Jon G."},{"family":"Shorenstein","given":"Joshua"},{"family":"Holste","given":"Hannes"},{"family":"Petrus","given":"Semar"},{"family":"Robbins-Pianka","given":"Adam"},{"family":"Brislawn","given":"Colin J."},{"family":"Wang","given":"Mingxun"},{"family":"Rideout","given":"Jai Ram"},{"family":"Bolyen","given":"Evan"},{"family":"Dillon","given":"Matthew"},{"family":"Caporaso","given":"J. Gregory"},{"family":"Dorrestein","given":"Pieter C."},{"family":"Knight","given":"Rob"}],"issued":{"date-parts":[["2018",10]]}}}],"schema":"https://github.com/citation-style-language/schema/raw/master/csl-citation.json"} </w:instrText>
      </w:r>
      <w:r w:rsidR="00261583" w:rsidRPr="00C42BF6">
        <w:rPr>
          <w:rFonts w:ascii="Arial" w:eastAsia="Arial" w:hAnsi="Arial" w:cs="Arial"/>
          <w:color w:val="000000"/>
          <w:sz w:val="24"/>
          <w:szCs w:val="24"/>
        </w:rPr>
        <w:fldChar w:fldCharType="separate"/>
      </w:r>
      <w:r w:rsidR="00261583" w:rsidRPr="00C42BF6">
        <w:rPr>
          <w:rFonts w:ascii="Arial" w:hAnsi="Arial" w:cs="Arial"/>
          <w:color w:val="000000"/>
          <w:sz w:val="24"/>
          <w:vertAlign w:val="superscript"/>
        </w:rPr>
        <w:t>5</w:t>
      </w:r>
      <w:r w:rsidR="00261583"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(Study ID: 14378). The resulting files were processed via QIIME2</w:t>
      </w:r>
      <w:r w:rsidR="00C46C45" w:rsidRPr="00C42BF6">
        <w:rPr>
          <w:rFonts w:ascii="Arial" w:eastAsia="Arial" w:hAnsi="Arial" w:cs="Arial"/>
          <w:color w:val="000000"/>
          <w:sz w:val="24"/>
          <w:szCs w:val="24"/>
        </w:rPr>
        <w:fldChar w:fldCharType="begin"/>
      </w:r>
      <w:r w:rsidR="00261583" w:rsidRPr="00C42BF6">
        <w:rPr>
          <w:rFonts w:ascii="Arial" w:eastAsia="Arial" w:hAnsi="Arial" w:cs="Arial"/>
          <w:color w:val="000000"/>
          <w:sz w:val="24"/>
          <w:szCs w:val="24"/>
        </w:rPr>
        <w:instrText xml:space="preserve"> ADDIN ZOTERO_ITEM CSL_CITATION {"citationID":"vT9PMf2D","properties":{"formattedCitation":"\\super 6\\nosupersub{}","plainCitation":"6","noteIndex":0},"citationItems":[{"id":2821,"uris":["http://zotero.org/users/local/6BakpO76/items/7S28PHCF"],"itemData":{"id":2821,"type":"article-journal","container-title":"Nature Methods","DOI":"10.1038/nmeth.f.303","ISSN":"1548-7105","issue":"5","journalAbbreviation":"Nat Methods","language":"eng","note":"PMID: 20383131\nPMCID: PMC3156573","page":"335-336","source":"PubMed","title":"QIIME allows analysis of high-throughput community sequencing data","volume":"7","author":[{"family":"Caporaso","given":"J. Gregory"},{"family":"Kuczynski","given":"Justin"},{"family":"Stombaugh","given":"Jesse"},{"family":"Bittinger","given":"Kyle"},{"family":"Bushman","given":"Frederic D."},{"family":"Costello","given":"Elizabeth K."},{"family":"Fierer","given":"Noah"},{"family":"Peña","given":"Antonio Gonzalez"},{"family":"Goodrich","given":"Julia K."},{"family":"Gordon","given":"Jeffrey I."},{"family":"Huttley","given":"Gavin A."},{"family":"Kelley","given":"Scott T."},{"family":"Knights","given":"Dan"},{"family":"Koenig","given":"Jeremy E."},{"family":"Ley","given":"Ruth E."},{"family":"Lozupone","given":"Catherine A."},{"family":"McDonald","given":"Daniel"},{"family":"Muegge","given":"Brian D."},{"family":"Pirrung","given":"Meg"},{"family":"Reeder","given":"Jens"},{"family":"Sevinsky","given":"Joel R."},{"family":"Turnbaugh","given":"Peter J."},{"family":"Walters","given":"William A."},{"family":"Widmann","given":"Jeremy"},{"family":"Yatsunenko","given":"Tanya"},{"family":"Zaneveld","given":"Jesse"},{"family":"Knight","given":"Rob"}],"issued":{"date-parts":[["2010",5]]}}}],"schema":"https://github.com/citation-style-language/schema/raw/master/csl-citation.json"} </w:instrText>
      </w:r>
      <w:r w:rsidR="00C46C45" w:rsidRPr="00C42BF6">
        <w:rPr>
          <w:rFonts w:ascii="Arial" w:eastAsia="Arial" w:hAnsi="Arial" w:cs="Arial"/>
          <w:color w:val="000000"/>
          <w:sz w:val="24"/>
          <w:szCs w:val="24"/>
        </w:rPr>
        <w:fldChar w:fldCharType="separate"/>
      </w:r>
      <w:r w:rsidR="00261583" w:rsidRPr="00C42BF6">
        <w:rPr>
          <w:rFonts w:ascii="Arial" w:hAnsi="Arial" w:cs="Arial"/>
          <w:color w:val="000000"/>
          <w:sz w:val="24"/>
          <w:vertAlign w:val="superscript"/>
        </w:rPr>
        <w:t>6</w:t>
      </w:r>
      <w:r w:rsidR="00C46C45"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Deblurred sequences were assigned a taxonomic classification using the feature-classifier / classify-</w:t>
      </w:r>
      <w:proofErr w:type="spellStart"/>
      <w:r w:rsidRPr="00C42BF6">
        <w:rPr>
          <w:rFonts w:ascii="Arial" w:eastAsia="Arial" w:hAnsi="Arial" w:cs="Arial"/>
          <w:color w:val="000000"/>
          <w:sz w:val="24"/>
          <w:szCs w:val="24"/>
        </w:rPr>
        <w:t>sklearn</w:t>
      </w:r>
      <w:proofErr w:type="spellEnd"/>
      <w:r w:rsidRPr="00C42BF6">
        <w:rPr>
          <w:rFonts w:ascii="Arial" w:eastAsia="Arial" w:hAnsi="Arial" w:cs="Arial"/>
          <w:color w:val="000000"/>
          <w:sz w:val="24"/>
          <w:szCs w:val="24"/>
        </w:rPr>
        <w:t xml:space="preserve"> plugin in QIIME2</w:t>
      </w:r>
      <w:r w:rsidR="00261583" w:rsidRPr="00C42BF6">
        <w:rPr>
          <w:rFonts w:ascii="Arial" w:eastAsia="Arial" w:hAnsi="Arial" w:cs="Arial"/>
          <w:color w:val="000000"/>
          <w:sz w:val="24"/>
          <w:szCs w:val="24"/>
        </w:rPr>
        <w:fldChar w:fldCharType="begin"/>
      </w:r>
      <w:r w:rsidR="00261583" w:rsidRPr="00C42BF6">
        <w:rPr>
          <w:rFonts w:ascii="Arial" w:eastAsia="Arial" w:hAnsi="Arial" w:cs="Arial"/>
          <w:color w:val="000000"/>
          <w:sz w:val="24"/>
          <w:szCs w:val="24"/>
        </w:rPr>
        <w:instrText xml:space="preserve"> ADDIN ZOTERO_ITEM CSL_CITATION {"citationID":"OSEyFXOH","properties":{"formattedCitation":"\\super 7\\nosupersub{}","plainCitation":"7","noteIndex":0},"citationItems":[{"id":2786,"uris":["http://zotero.org/users/local/6BakpO76/items/MWVEHVRV"],"itemData":{"id":2786,"type":"article-journal","container-title":"Nature Biotechnology","DOI":"10.1038/s41587-019-0209-9","ISSN":"1546-1696","issue":"8","journalAbbreviation":"Nat Biotechnol","language":"eng","note":"PMID: 31341288\nPMCID: PMC7015180","page":"852-857","source":"PubMed","title":"Reproducible, interactive, scalable and extensible microbiome data science using QIIME 2","volume":"37","author":[{"family":"Bolyen","given":"Evan"},{"family":"Rideout","given":"Jai Ram"},{"family":"Dillon","given":"Matthew R."},{"family":"Bokulich","given":"Nicholas A."},{"family":"Abnet","given":"Christian C."},{"family":"Al-Ghalith","given":"Gabriel A."},{"family":"Alexander","given":"Harriet"},{"family":"Alm","given":"Eric J."},{"family":"Arumugam","given":"Manimozhiyan"},{"family":"Asnicar","given":"Francesco"},{"family":"Bai","given":"Yang"},{"family":"Bisanz","given":"Jordan E."},{"family":"Bittinger","given":"Kyle"},{"family":"Brejnrod","given":"Asker"},{"family":"Brislawn","given":"Colin J."},{"family":"Brown","given":"C. Titus"},{"family":"Callahan","given":"Benjamin J."},{"family":"Caraballo-Rodríguez","given":"Andrés Mauricio"},{"family":"Chase","given":"John"},{"family":"Cope","given":"Emily K."},{"family":"Da Silva","given":"Ricardo"},{"family":"Diener","given":"Christian"},{"family":"Dorrestein","given":"Pieter C."},{"family":"Douglas","given":"Gavin M."},{"family":"Durall","given":"Daniel M."},{"family":"Duvallet","given":"Claire"},{"family":"Edwardson","given":"Christian F."},{"family":"Ernst","given":"Madeleine"},{"family":"Estaki","given":"Mehrbod"},{"family":"Fouquier","given":"Jennifer"},{"family":"Gauglitz","given":"Julia M."},{"family":"Gibbons","given":"Sean M."},{"family":"Gibson","given":"Deanna L."},{"family":"Gonzalez","given":"Antonio"},{"family":"Gorlick","given":"Kestrel"},{"family":"Guo","given":"Jiarong"},{"family":"Hillmann","given":"Benjamin"},{"family":"Holmes","given":"Susan"},{"family":"Holste","given":"Hannes"},{"family":"Huttenhower","given":"Curtis"},{"family":"Huttley","given":"Gavin A."},{"family":"Janssen","given":"Stefan"},{"family":"Jarmusch","given":"Alan K."},{"family":"Jiang","given":"Lingjing"},{"family":"Kaehler","given":"Benjamin D."},{"family":"Kang","given":"Kyo Bin"},{"family":"Keefe","given":"Christopher R."},{"family":"Keim","given":"Paul"},{"family":"Kelley","given":"Scott T."},{"family":"Knights","given":"Dan"},{"family":"Koester","given":"Irina"},{"family":"Kosciolek","given":"Tomasz"},{"family":"Kreps","given":"Jorden"},{"family":"Langille","given":"Morgan G. I."},{"family":"Lee","given":"Joslynn"},{"family":"Ley","given":"Ruth"},{"family":"Liu","given":"Yong-Xin"},{"family":"Loftfield","given":"Erikka"},{"family":"Lozupone","given":"Catherine"},{"family":"Maher","given":"Massoud"},{"family":"Marotz","given":"Clarisse"},{"family":"Martin","given":"Bryan D."},{"family":"McDonald","given":"Daniel"},{"family":"McIver","given":"Lauren J."},{"family":"Melnik","given":"Alexey V."},{"family":"Metcalf","given":"Jessica L."},{"family":"Morgan","given":"Sydney C."},{"family":"Morton","given":"Jamie T."},{"family":"Naimey","given":"Ahmad Turan"},{"family":"Navas-Molina","given":"Jose A."},{"family":"Nothias","given":"Louis Felix"},{"family":"Orchanian","given":"Stephanie B."},{"family":"Pearson","given":"Talima"},{"family":"Peoples","given":"Samuel L."},{"family":"Petras","given":"Daniel"},{"family":"Preuss","given":"Mary Lai"},{"family":"Pruesse","given":"Elmar"},{"family":"Rasmussen","given":"Lasse Buur"},{"family":"Rivers","given":"Adam"},{"family":"Robeson","given":"Michael S."},{"family":"Rosenthal","given":"Patrick"},{"family":"Segata","given":"Nicola"},{"family":"Shaffer","given":"Michael"},{"family":"Shiffer","given":"Arron"},{"family":"Sinha","given":"Rashmi"},{"family":"Song","given":"Se Jin"},{"family":"Spear","given":"John R."},{"family":"Swafford","given":"Austin D."},{"family":"Thompson","given":"Luke R."},{"family":"Torres","given":"Pedro J."},{"family":"Trinh","given":"Pauline"},{"family":"Tripathi","given":"Anupriya"},{"family":"Turnbaugh","given":"Peter J."},{"family":"Ul-Hasan","given":"Sabah"},{"family":"Hooft","given":"Justin J. J.","non-dropping-particle":"van der"},{"family":"Vargas","given":"Fernando"},{"family":"Vázquez-Baeza","given":"Yoshiki"},{"family":"Vogtmann","given":"Emily"},{"family":"Hippel","given":"Max","non-dropping-particle":"von"},{"family":"Walters","given":"William"},{"family":"Wan","given":"Yunhu"},{"family":"Wang","given":"Mingxun"},{"family":"Warren","given":"Jonathan"},{"family":"Weber","given":"Kyle C."},{"family":"Williamson","given":"Charles H. D."},{"family":"Willis","given":"Amy D."},{"family":"Xu","given":"Zhenjiang Zech"},{"family":"Zaneveld","given":"Jesse R."},{"family":"Zhang","given":"Yilong"},{"family":"Zhu","given":"Qiyun"},{"family":"Knight","given":"Rob"},{"family":"Caporaso","given":"J. Gregory"}],"issued":{"date-parts":[["2019",8]]}}}],"schema":"https://github.com/citation-style-language/schema/raw/master/csl-citation.json"} </w:instrText>
      </w:r>
      <w:r w:rsidR="00261583" w:rsidRPr="00C42BF6">
        <w:rPr>
          <w:rFonts w:ascii="Arial" w:eastAsia="Arial" w:hAnsi="Arial" w:cs="Arial"/>
          <w:color w:val="000000"/>
          <w:sz w:val="24"/>
          <w:szCs w:val="24"/>
        </w:rPr>
        <w:fldChar w:fldCharType="separate"/>
      </w:r>
      <w:r w:rsidR="00261583" w:rsidRPr="00C42BF6">
        <w:rPr>
          <w:rFonts w:ascii="Arial" w:hAnsi="Arial" w:cs="Arial"/>
          <w:color w:val="000000"/>
          <w:sz w:val="24"/>
          <w:vertAlign w:val="superscript"/>
        </w:rPr>
        <w:t>7</w:t>
      </w:r>
      <w:r w:rsidR="00261583"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using default parameters. Alpha diversity (species diversity within each sample) was calculated using Faith’s phylogenetic diversity (Faith</w:t>
      </w:r>
      <w:r w:rsidR="00711F5C" w:rsidRPr="00C42BF6">
        <w:rPr>
          <w:rFonts w:ascii="Arial" w:eastAsia="Arial" w:hAnsi="Arial" w:cs="Arial"/>
          <w:color w:val="000000"/>
          <w:sz w:val="24"/>
          <w:szCs w:val="24"/>
        </w:rPr>
        <w:t>’s</w:t>
      </w:r>
      <w:r w:rsidRPr="00C42BF6">
        <w:rPr>
          <w:rFonts w:ascii="Arial" w:eastAsia="Arial" w:hAnsi="Arial" w:cs="Arial"/>
          <w:color w:val="000000"/>
          <w:sz w:val="24"/>
          <w:szCs w:val="24"/>
        </w:rPr>
        <w:t xml:space="preserve"> PD)</w:t>
      </w:r>
      <w:r w:rsidR="00261583" w:rsidRPr="00C42BF6">
        <w:rPr>
          <w:rFonts w:ascii="Arial" w:eastAsia="Arial" w:hAnsi="Arial" w:cs="Arial"/>
          <w:color w:val="000000"/>
          <w:sz w:val="24"/>
          <w:szCs w:val="24"/>
        </w:rPr>
        <w:fldChar w:fldCharType="begin"/>
      </w:r>
      <w:r w:rsidR="00A97008" w:rsidRPr="00C42BF6">
        <w:rPr>
          <w:rFonts w:ascii="Arial" w:eastAsia="Arial" w:hAnsi="Arial" w:cs="Arial"/>
          <w:color w:val="000000"/>
          <w:sz w:val="24"/>
          <w:szCs w:val="24"/>
        </w:rPr>
        <w:instrText xml:space="preserve"> ADDIN ZOTERO_ITEM CSL_CITATION {"citationID":"a2u8micdba","properties":{"formattedCitation":"\\super 8,9\\nosupersub{}","plainCitation":"8,9","noteIndex":0},"citationItems":[{"id":3611,"uris":["http://zotero.org/users/local/6BakpO76/items/BF6TYCFV"],"itemData":{"id":3611,"type":"article-journal","abstract":"The number of publicly available microbiome samples is continually growing. As data set size increases, bottlenecks arise in standard analytical pipelines. Faith's phylogenetic diversity (Faith's PD) is a highly utilized phylogenetic alpha diversity metric that has thus far failed to effectively scale to trees with millions of vertices. Stacked Faith's phylogenetic diversity (SFPhD) enables calculation of this widely adopted diversity metric at a much larger scale by implementing a computationally efficient algorithm. The algorithm reduces the amount of computational resources required, resulting in more accessible software with a reduced carbon footprint, as compared to previous approaches. The new algorithm produces identical results to the previous method. We further demonstrate that the phylogenetic aspect of Faith's PD provides increased power in detecting diversity differences between younger and older populations in the FINRISK study's metagenomic data.","container-title":"Genome Research","DOI":"10.1101/gr.275777.121","ISSN":"1549-5469","issue":"11","journalAbbreviation":"Genome Res","language":"eng","note":"PMID: 34479875\nPMCID: PMC8559715","page":"2131-2137","source":"PubMed","title":"Efficient computation of Faith's phylogenetic diversity with applications in characterizing microbiomes","volume":"31","author":[{"family":"Armstrong","given":"George"},{"family":"Cantrell","given":"Kalen"},{"family":"Huang","given":"Shi"},{"family":"McDonald","given":"Daniel"},{"family":"Haiminen","given":"Niina"},{"family":"Carrieri","given":"Anna Paola"},{"family":"Zhu","given":"Qiyun"},{"family":"Gonzalez","given":"Antonio"},{"family":"McGrath","given":"Imran"},{"family":"Beck","given":"Kristen L."},{"family":"Hakim","given":"Daniel"},{"family":"Havulinna","given":"Aki S."},{"family":"Méric","given":"Guillaume"},{"family":"Niiranen","given":"Teemu"},{"family":"Lahti","given":"Leo"},{"family":"Salomaa","given":"Veikko"},{"family":"Jain","given":"Mohit"},{"family":"Inouye","given":"Michael"},{"family":"Swafford","given":"Austin D."},{"family":"Kim","given":"Ho-Cheol"},{"family":"Parida","given":"Laxmi"},{"family":"Vázquez-Baeza","given":"Yoshiki"},{"family":"Knight","given":"Rob"}],"issued":{"date-parts":[["2021",11]]}}},{"id":2781,"uris":["http://zotero.org/users/local/6BakpO76/items/WCNQAC6D"],"itemData":{"id":2781,"type":"article-journal","abstract":"Complex microbial communities shape the dynamics of various environments, ranging from the mammalian gastrointestinal tract to the soil. Advances in DNA sequencing technologies and data analysis have provided drastic improvements in microbiome analyses, for example, in taxonomic resolution, false discovery rate control and other properties, over earlier methods. In this Review, we discuss the best practices for performing a microbiome study, including experimental design, choice of molecular analysis technology, methods for data analysis and the integration of multiple omics data sets. We focus on recent findings that suggest that operational taxonomic unit-based analyses should be replaced with new methods that are based on exact sequence variants, methods for integrating metagenomic and metabolomic data, and issues surrounding compositional data analysis, where advances have been particularly rapid. We note that although some of these approaches are new, it is important to keep sight of the classic issues that arise during experimental design and relate to research reproducibility. We describe how keeping these issues in mind allows researchers to obtain more insight from their microbiome data sets.","container-title":"Nature Reviews. Microbiology","DOI":"10.1038/s41579-018-0029-9","ISSN":"1740-1534","issue":"7","journalAbbreviation":"Nat Rev Microbiol","language":"eng","note":"PMID: 29795328","page":"410-422","source":"PubMed","title":"Best practices for analysing microbiomes","volume":"16","author":[{"family":"Knight","given":"Rob"},{"family":"Vrbanac","given":"Alison"},{"family":"Taylor","given":"Bryn C."},{"family":"Aksenov","given":"Alexander"},{"family":"Callewaert","given":"Chris"},{"family":"Debelius","given":"Justine"},{"family":"Gonzalez","given":"Antonio"},{"family":"Kosciolek","given":"Tomasz"},{"family":"McCall","given":"Laura-Isobel"},{"family":"McDonald","given":"Daniel"},{"family":"Melnik","given":"Alexey V."},{"family":"Morton","given":"James T."},{"family":"Navas","given":"Jose"},{"family":"Quinn","given":"Robert A."},{"family":"Sanders","given":"Jon G."},{"family":"Swafford","given":"Austin D."},{"family":"Thompson","given":"Luke R."},{"family":"Tripathi","given":"Anupriya"},{"family":"Xu","given":"Zhenjiang Z."},{"family":"Zaneveld","given":"Jesse R."},{"family":"Zhu","given":"Qiyun"},{"family":"Caporaso","given":"J. Gregory"},{"family":"Dorrestein","given":"Pieter C."}],"issued":{"date-parts":[["2018",7]]}}}],"schema":"https://github.com/citation-style-language/schema/raw/master/csl-citation.json"} </w:instrText>
      </w:r>
      <w:r w:rsidR="00261583" w:rsidRPr="00C42BF6">
        <w:rPr>
          <w:rFonts w:ascii="Arial" w:eastAsia="Arial" w:hAnsi="Arial" w:cs="Arial"/>
          <w:color w:val="000000"/>
          <w:sz w:val="24"/>
          <w:szCs w:val="24"/>
        </w:rPr>
        <w:fldChar w:fldCharType="separate"/>
      </w:r>
      <w:r w:rsidR="00A97008" w:rsidRPr="00C42BF6">
        <w:rPr>
          <w:rFonts w:ascii="Arial" w:hAnsi="Arial" w:cs="Arial"/>
          <w:color w:val="000000"/>
          <w:sz w:val="24"/>
          <w:vertAlign w:val="superscript"/>
        </w:rPr>
        <w:t>8,9</w:t>
      </w:r>
      <w:r w:rsidR="00261583"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Shannon’s index</w:t>
      </w:r>
      <w:r w:rsidR="00261583" w:rsidRPr="00C42BF6">
        <w:rPr>
          <w:rFonts w:ascii="Arial" w:eastAsia="Arial" w:hAnsi="Arial" w:cs="Arial"/>
          <w:color w:val="000000"/>
          <w:sz w:val="24"/>
          <w:szCs w:val="24"/>
        </w:rPr>
        <w:fldChar w:fldCharType="begin"/>
      </w:r>
      <w:r w:rsidR="00A97008" w:rsidRPr="00C42BF6">
        <w:rPr>
          <w:rFonts w:ascii="Arial" w:eastAsia="Arial" w:hAnsi="Arial" w:cs="Arial"/>
          <w:color w:val="000000"/>
          <w:sz w:val="24"/>
          <w:szCs w:val="24"/>
        </w:rPr>
        <w:instrText xml:space="preserve"> ADDIN ZOTERO_ITEM CSL_CITATION {"citationID":"a17vc7h5td5","properties":{"formattedCitation":"\\super 9,10\\nosupersub{}","plainCitation":"9,10","noteIndex":0},"citationItems":[{"id":3614,"uris":["http://zotero.org/users/local/6BakpO76/items/QDVFFWNR"],"itemData":{"id":3614,"type":"article-journal","abstract":"Diversity measurement is important for understanding community structure and dynamics, but has been particularly challenging for microorganisms. Microbial community characterization using small subunit rRNA (SSU rRNA) gene sequences has revealed an extensive, previously unsuspected diversity that we are only now beginning to understand, especially now that advanced sequencing technologies are producing datasets containing hundreds of thousands of sequences from hundreds of samples. Efforts to quantify microbial diversity often use taxon-based methods that ignore the fact that not all species are equally related, which can therefore obscure important patterns in the data. For example, alpha-diversity (diversity within communities) is often estimated as the number of species in a community (species richness), and beta-diversity (partitioning of diversity among communities) is often based on the number of shared species. Methods for measuring alpha- and beta-diversity that account for different levels of divergence between individuals have recently been more widely applied. These methods are more powerful than taxon-based methods because microorganisms in a community differ dramatically in sequence similarity, which also often correlates with phenotypic similarity in key features such as metabolic capabilities. Consequently, divergence-based methods are providing new insights into microbial community structure and function.","container-title":"FEMS microbiology reviews","DOI":"10.1111/j.1574-6976.2008.00111.x","ISSN":"0168-6445","issue":"4","journalAbbreviation":"FEMS Microbiol Rev","language":"eng","note":"PMID: 18435746\nPMCID: PMC2443784","page":"557-578","source":"PubMed","title":"Species divergence and the measurement of microbial diversity","volume":"32","author":[{"family":"Lozupone","given":"Catherine A."},{"family":"Knight","given":"Rob"}],"issued":{"date-parts":[["2008",7]]}}},{"id":2781,"uris":["http://zotero.org/users/local/6BakpO76/items/WCNQAC6D"],"itemData":{"id":2781,"type":"article-journal","abstract":"Complex microbial communities shape the dynamics of various environments, ranging from the mammalian gastrointestinal tract to the soil. Advances in DNA sequencing technologies and data analysis have provided drastic improvements in microbiome analyses, for example, in taxonomic resolution, false discovery rate control and other properties, over earlier methods. In this Review, we discuss the best practices for performing a microbiome study, including experimental design, choice of molecular analysis technology, methods for data analysis and the integration of multiple omics data sets. We focus on recent findings that suggest that operational taxonomic unit-based analyses should be replaced with new methods that are based on exact sequence variants, methods for integrating metagenomic and metabolomic data, and issues surrounding compositional data analysis, where advances have been particularly rapid. We note that although some of these approaches are new, it is important to keep sight of the classic issues that arise during experimental design and relate to research reproducibility. We describe how keeping these issues in mind allows researchers to obtain more insight from their microbiome data sets.","container-title":"Nature Reviews. Microbiology","DOI":"10.1038/s41579-018-0029-9","ISSN":"1740-1534","issue":"7","journalAbbreviation":"Nat Rev Microbiol","language":"eng","note":"PMID: 29795328","page":"410-422","source":"PubMed","title":"Best practices for analysing microbiomes","volume":"16","author":[{"family":"Knight","given":"Rob"},{"family":"Vrbanac","given":"Alison"},{"family":"Taylor","given":"Bryn C."},{"family":"Aksenov","given":"Alexander"},{"family":"Callewaert","given":"Chris"},{"family":"Debelius","given":"Justine"},{"family":"Gonzalez","given":"Antonio"},{"family":"Kosciolek","given":"Tomasz"},{"family":"McCall","given":"Laura-Isobel"},{"family":"McDonald","given":"Daniel"},{"family":"Melnik","given":"Alexey V."},{"family":"Morton","given":"James T."},{"family":"Navas","given":"Jose"},{"family":"Quinn","given":"Robert A."},{"family":"Sanders","given":"Jon G."},{"family":"Swafford","given":"Austin D."},{"family":"Thompson","given":"Luke R."},{"family":"Tripathi","given":"Anupriya"},{"family":"Xu","given":"Zhenjiang Z."},{"family":"Zaneveld","given":"Jesse R."},{"family":"Zhu","given":"Qiyun"},{"family":"Caporaso","given":"J. Gregory"},{"family":"Dorrestein","given":"Pieter C."}],"issued":{"date-parts":[["2018",7]]}}}],"schema":"https://github.com/citation-style-language/schema/raw/master/csl-citation.json"} </w:instrText>
      </w:r>
      <w:r w:rsidR="00261583" w:rsidRPr="00C42BF6">
        <w:rPr>
          <w:rFonts w:ascii="Arial" w:eastAsia="Arial" w:hAnsi="Arial" w:cs="Arial"/>
          <w:color w:val="000000"/>
          <w:sz w:val="24"/>
          <w:szCs w:val="24"/>
        </w:rPr>
        <w:fldChar w:fldCharType="separate"/>
      </w:r>
      <w:r w:rsidR="00A97008" w:rsidRPr="00C42BF6">
        <w:rPr>
          <w:rFonts w:ascii="Arial" w:hAnsi="Arial" w:cs="Arial"/>
          <w:color w:val="000000"/>
          <w:sz w:val="24"/>
          <w:vertAlign w:val="superscript"/>
        </w:rPr>
        <w:t>9,10</w:t>
      </w:r>
      <w:r w:rsidR="00261583"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and Chao1</w:t>
      </w:r>
      <w:r w:rsidR="00261583" w:rsidRPr="00C42BF6">
        <w:rPr>
          <w:rFonts w:ascii="Arial" w:eastAsia="Arial" w:hAnsi="Arial" w:cs="Arial"/>
          <w:color w:val="000000"/>
          <w:sz w:val="24"/>
          <w:szCs w:val="24"/>
        </w:rPr>
        <w:fldChar w:fldCharType="begin"/>
      </w:r>
      <w:r w:rsidR="00A97008" w:rsidRPr="00C42BF6">
        <w:rPr>
          <w:rFonts w:ascii="Arial" w:eastAsia="Arial" w:hAnsi="Arial" w:cs="Arial"/>
          <w:color w:val="000000"/>
          <w:sz w:val="24"/>
          <w:szCs w:val="24"/>
        </w:rPr>
        <w:instrText xml:space="preserve"> ADDIN ZOTERO_ITEM CSL_CITATION {"citationID":"al1pmb7vtp","properties":{"formattedCitation":"\\super 9\\nosupersub{}","plainCitation":"9","noteIndex":0},"citationItems":[{"id":2781,"uris":["http://zotero.org/users/local/6BakpO76/items/WCNQAC6D"],"itemData":{"id":2781,"type":"article-journal","abstract":"Complex microbial communities shape the dynamics of various environments, ranging from the mammalian gastrointestinal tract to the soil. Advances in DNA sequencing technologies and data analysis have provided drastic improvements in microbiome analyses, for example, in taxonomic resolution, false discovery rate control and other properties, over earlier methods. In this Review, we discuss the best practices for performing a microbiome study, including experimental design, choice of molecular analysis technology, methods for data analysis and the integration of multiple omics data sets. We focus on recent findings that suggest that operational taxonomic unit-based analyses should be replaced with new methods that are based on exact sequence variants, methods for integrating metagenomic and metabolomic data, and issues surrounding compositional data analysis, where advances have been particularly rapid. We note that although some of these approaches are new, it is important to keep sight of the classic issues that arise during experimental design and relate to research reproducibility. We describe how keeping these issues in mind allows researchers to obtain more insight from their microbiome data sets.","container-title":"Nature Reviews. Microbiology","DOI":"10.1038/s41579-018-0029-9","ISSN":"1740-1534","issue":"7","journalAbbreviation":"Nat Rev Microbiol","language":"eng","note":"PMID: 29795328","page":"410-422","source":"PubMed","title":"Best practices for analysing microbiomes","volume":"16","author":[{"family":"Knight","given":"Rob"},{"family":"Vrbanac","given":"Alison"},{"family":"Taylor","given":"Bryn C."},{"family":"Aksenov","given":"Alexander"},{"family":"Callewaert","given":"Chris"},{"family":"Debelius","given":"Justine"},{"family":"Gonzalez","given":"Antonio"},{"family":"Kosciolek","given":"Tomasz"},{"family":"McCall","given":"Laura-Isobel"},{"family":"McDonald","given":"Daniel"},{"family":"Melnik","given":"Alexey V."},{"family":"Morton","given":"James T."},{"family":"Navas","given":"Jose"},{"family":"Quinn","given":"Robert A."},{"family":"Sanders","given":"Jon G."},{"family":"Swafford","given":"Austin D."},{"family":"Thompson","given":"Luke R."},{"family":"Tripathi","given":"Anupriya"},{"family":"Xu","given":"Zhenjiang Z."},{"family":"Zaneveld","given":"Jesse R."},{"family":"Zhu","given":"Qiyun"},{"family":"Caporaso","given":"J. Gregory"},{"family":"Dorrestein","given":"Pieter C."}],"issued":{"date-parts":[["2018",7]]}}}],"schema":"https://github.com/citation-style-language/schema/raw/master/csl-citation.json"} </w:instrText>
      </w:r>
      <w:r w:rsidR="00261583" w:rsidRPr="00C42BF6">
        <w:rPr>
          <w:rFonts w:ascii="Arial" w:eastAsia="Arial" w:hAnsi="Arial" w:cs="Arial"/>
          <w:color w:val="000000"/>
          <w:sz w:val="24"/>
          <w:szCs w:val="24"/>
        </w:rPr>
        <w:fldChar w:fldCharType="separate"/>
      </w:r>
      <w:r w:rsidR="00A97008" w:rsidRPr="00C42BF6">
        <w:rPr>
          <w:rFonts w:ascii="Arial" w:hAnsi="Arial" w:cs="Arial"/>
          <w:color w:val="000000"/>
          <w:sz w:val="24"/>
          <w:vertAlign w:val="superscript"/>
        </w:rPr>
        <w:t>9</w:t>
      </w:r>
      <w:r w:rsidR="00261583"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Differences in alpha diversity were compared across ages using the Kruskal-</w:t>
      </w:r>
      <w:bookmarkStart w:id="0" w:name="_Int_o2ArxLwY"/>
      <w:proofErr w:type="gramStart"/>
      <w:r w:rsidRPr="00C42BF6">
        <w:rPr>
          <w:rFonts w:ascii="Arial" w:eastAsia="Arial" w:hAnsi="Arial" w:cs="Arial"/>
          <w:color w:val="000000"/>
          <w:sz w:val="24"/>
          <w:szCs w:val="24"/>
        </w:rPr>
        <w:t>Wallis</w:t>
      </w:r>
      <w:bookmarkEnd w:id="0"/>
      <w:proofErr w:type="gramEnd"/>
      <w:r w:rsidRPr="00C42BF6">
        <w:rPr>
          <w:rFonts w:ascii="Arial" w:eastAsia="Arial" w:hAnsi="Arial" w:cs="Arial"/>
          <w:color w:val="000000"/>
          <w:sz w:val="24"/>
          <w:szCs w:val="24"/>
        </w:rPr>
        <w:t xml:space="preserve"> significance test. To determine beta diversity</w:t>
      </w:r>
      <w:r w:rsidR="00261583" w:rsidRPr="00C42BF6">
        <w:rPr>
          <w:rFonts w:ascii="Arial" w:eastAsia="Arial" w:hAnsi="Arial" w:cs="Arial"/>
          <w:color w:val="000000"/>
          <w:sz w:val="24"/>
          <w:szCs w:val="24"/>
        </w:rPr>
        <w:fldChar w:fldCharType="begin"/>
      </w:r>
      <w:r w:rsidR="00A97008" w:rsidRPr="00C42BF6">
        <w:rPr>
          <w:rFonts w:ascii="Arial" w:eastAsia="Arial" w:hAnsi="Arial" w:cs="Arial"/>
          <w:color w:val="000000"/>
          <w:sz w:val="24"/>
          <w:szCs w:val="24"/>
        </w:rPr>
        <w:instrText xml:space="preserve"> ADDIN ZOTERO_ITEM CSL_CITATION {"citationID":"ad2amhhbpd","properties":{"formattedCitation":"\\super 9\\nosupersub{}","plainCitation":"9","noteIndex":0},"citationItems":[{"id":2781,"uris":["http://zotero.org/users/local/6BakpO76/items/WCNQAC6D"],"itemData":{"id":2781,"type":"article-journal","abstract":"Complex microbial communities shape the dynamics of various environments, ranging from the mammalian gastrointestinal tract to the soil. Advances in DNA sequencing technologies and data analysis have provided drastic improvements in microbiome analyses, for example, in taxonomic resolution, false discovery rate control and other properties, over earlier methods. In this Review, we discuss the best practices for performing a microbiome study, including experimental design, choice of molecular analysis technology, methods for data analysis and the integration of multiple omics data sets. We focus on recent findings that suggest that operational taxonomic unit-based analyses should be replaced with new methods that are based on exact sequence variants, methods for integrating metagenomic and metabolomic data, and issues surrounding compositional data analysis, where advances have been particularly rapid. We note that although some of these approaches are new, it is important to keep sight of the classic issues that arise during experimental design and relate to research reproducibility. We describe how keeping these issues in mind allows researchers to obtain more insight from their microbiome data sets.","container-title":"Nature Reviews. Microbiology","DOI":"10.1038/s41579-018-0029-9","ISSN":"1740-1534","issue":"7","journalAbbreviation":"Nat Rev Microbiol","language":"eng","note":"PMID: 29795328","page":"410-422","source":"PubMed","title":"Best practices for analysing microbiomes","volume":"16","author":[{"family":"Knight","given":"Rob"},{"family":"Vrbanac","given":"Alison"},{"family":"Taylor","given":"Bryn C."},{"family":"Aksenov","given":"Alexander"},{"family":"Callewaert","given":"Chris"},{"family":"Debelius","given":"Justine"},{"family":"Gonzalez","given":"Antonio"},{"family":"Kosciolek","given":"Tomasz"},{"family":"McCall","given":"Laura-Isobel"},{"family":"McDonald","given":"Daniel"},{"family":"Melnik","given":"Alexey V."},{"family":"Morton","given":"James T."},{"family":"Navas","given":"Jose"},{"family":"Quinn","given":"Robert A."},{"family":"Sanders","given":"Jon G."},{"family":"Swafford","given":"Austin D."},{"family":"Thompson","given":"Luke R."},{"family":"Tripathi","given":"Anupriya"},{"family":"Xu","given":"Zhenjiang Z."},{"family":"Zaneveld","given":"Jesse R."},{"family":"Zhu","given":"Qiyun"},{"family":"Caporaso","given":"J. Gregory"},{"family":"Dorrestein","given":"Pieter C."}],"issued":{"date-parts":[["2018",7]]}}}],"schema":"https://github.com/citation-style-language/schema/raw/master/csl-citation.json"} </w:instrText>
      </w:r>
      <w:r w:rsidR="00261583" w:rsidRPr="00C42BF6">
        <w:rPr>
          <w:rFonts w:ascii="Arial" w:eastAsia="Arial" w:hAnsi="Arial" w:cs="Arial"/>
          <w:color w:val="000000"/>
          <w:sz w:val="24"/>
          <w:szCs w:val="24"/>
        </w:rPr>
        <w:fldChar w:fldCharType="separate"/>
      </w:r>
      <w:r w:rsidR="00A97008" w:rsidRPr="00C42BF6">
        <w:rPr>
          <w:rFonts w:ascii="Arial" w:hAnsi="Arial" w:cs="Arial"/>
          <w:color w:val="000000"/>
          <w:sz w:val="24"/>
          <w:vertAlign w:val="superscript"/>
        </w:rPr>
        <w:t>9</w:t>
      </w:r>
      <w:r w:rsidR="00261583"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(differences in overall composition between samples), differences in communities (using both unweighted and weighted </w:t>
      </w:r>
      <w:proofErr w:type="spellStart"/>
      <w:r w:rsidRPr="00C42BF6">
        <w:rPr>
          <w:rFonts w:ascii="Arial" w:eastAsia="Arial" w:hAnsi="Arial" w:cs="Arial"/>
          <w:color w:val="000000"/>
          <w:sz w:val="24"/>
          <w:szCs w:val="24"/>
        </w:rPr>
        <w:t>UniFrac</w:t>
      </w:r>
      <w:proofErr w:type="spellEnd"/>
      <w:r w:rsidRPr="00C42BF6">
        <w:rPr>
          <w:rFonts w:ascii="Arial" w:eastAsia="Arial" w:hAnsi="Arial" w:cs="Arial"/>
          <w:color w:val="000000"/>
          <w:sz w:val="24"/>
          <w:szCs w:val="24"/>
        </w:rPr>
        <w:t xml:space="preserve"> distance metrics, which considers branch length separating each pair of communities on a shared phylogenetic tree) were compared qualitatively across age groups using principal coordinate analysis (</w:t>
      </w:r>
      <w:proofErr w:type="spellStart"/>
      <w:r w:rsidRPr="00C42BF6">
        <w:rPr>
          <w:rFonts w:ascii="Arial" w:eastAsia="Arial" w:hAnsi="Arial" w:cs="Arial"/>
          <w:color w:val="000000"/>
          <w:sz w:val="24"/>
          <w:szCs w:val="24"/>
        </w:rPr>
        <w:t>PCoA</w:t>
      </w:r>
      <w:proofErr w:type="spellEnd"/>
      <w:r w:rsidRPr="00C42BF6">
        <w:rPr>
          <w:rFonts w:ascii="Arial" w:eastAsia="Arial" w:hAnsi="Arial" w:cs="Arial"/>
          <w:color w:val="000000"/>
          <w:sz w:val="24"/>
          <w:szCs w:val="24"/>
        </w:rPr>
        <w:t>). Differences in beta diversity were compared quantitatively across age groups via PERMANOVA. Paired with this analysis, PERMDISP was also used to assess the differences in the variability and spread of data amongst the age groups. Individual OTU features were analyzed for differential abundance before treatment using an analysis of composition of microbiomes (ANCOM)</w:t>
      </w:r>
      <w:r w:rsidR="00261583" w:rsidRPr="00C42BF6">
        <w:rPr>
          <w:rFonts w:ascii="Arial" w:eastAsia="Arial" w:hAnsi="Arial" w:cs="Arial"/>
          <w:color w:val="000000"/>
          <w:sz w:val="24"/>
          <w:szCs w:val="24"/>
        </w:rPr>
        <w:fldChar w:fldCharType="begin"/>
      </w:r>
      <w:r w:rsidR="00A97008" w:rsidRPr="00C42BF6">
        <w:rPr>
          <w:rFonts w:ascii="Arial" w:eastAsia="Arial" w:hAnsi="Arial" w:cs="Arial"/>
          <w:color w:val="000000"/>
          <w:sz w:val="24"/>
          <w:szCs w:val="24"/>
        </w:rPr>
        <w:instrText xml:space="preserve"> ADDIN ZOTERO_ITEM CSL_CITATION {"citationID":"avpd9qs5bn","properties":{"formattedCitation":"\\super 11\\nosupersub{}","plainCitation":"11","noteIndex":0},"citationItems":[{"id":705,"uris":["http://zotero.org/users/local/6BakpO76/items/8CATLC9W"],"itemData":{"id":705,"type":"article-journal","abstract":"BACKGROUND: Understanding the factors regulating our microbiota is important but requires appropriate statistical methodology. When comparing two or more populations most existing approaches either discount the underlying compositional structure in the microbiome data or use probability models such as the multinomial and Dirichlet-multinomial distributions, which may impose a correlation structure not suitable for microbiome data.\nOBJECTIVE: To develop a methodology that accounts for compositional constraints to reduce false discoveries in detecting differentially abundant taxa at an ecosystem level, while maintaining high statistical power.\nMETHODS: We introduced a novel statistical framework called analysis of composition of microbiomes (ANCOM). ANCOM accounts for the underlying structure in the data and can be used for comparing the composition of microbiomes in two or more populations. ANCOM makes no distributional assumptions and can be implemented in a linear model framework to adjust for covariates as well as model longitudinal data. ANCOM also scales well to compare samples involving thousands of taxa.\nRESULTS: We compared the performance of ANCOM to the standard t-test and a recently published methodology called Zero Inflated Gaussian (ZIG) methodology (1) for drawing inferences on the mean taxa abundance in two or more populations. ANCOM controlled the false discovery rate (FDR) at the desired nominal level while also improving power, whereas the t-test and ZIG had inflated FDRs, in some instances as high as 68% for the t-test and 60% for ZIG. We illustrate the performance of ANCOM using two publicly available microbial datasets in the human gut, demonstrating its general applicability to testing hypotheses about compositional differences in microbial communities.\nCONCLUSION: Accounting for compositionality using log-ratio analysis results in significantly improved inference in microbiota survey data.","container-title":"Microbial Ecology in Health and Disease","DOI":"10.3402/mehd.v26.27663","ISSN":"0891-060X","journalAbbreviation":"Microb Ecol Health Dis","language":"eng","note":"PMID: 26028277\nPMCID: PMC4450248","page":"27663","source":"PubMed","title":"Analysis of composition of microbiomes: a novel method for studying microbial composition","title-short":"Analysis of composition of microbiomes","volume":"26","author":[{"family":"Mandal","given":"Siddhartha"},{"family":"Van Treuren","given":"Will"},{"family":"White","given":"Richard A."},{"family":"Eggesbø","given":"Merete"},{"family":"Knight","given":"Rob"},{"family":"Peddada","given":"Shyamal D."}],"issued":{"date-parts":[["2015"]]}}}],"schema":"https://github.com/citation-style-language/schema/raw/master/csl-citation.json"} </w:instrText>
      </w:r>
      <w:r w:rsidR="00261583" w:rsidRPr="00C42BF6">
        <w:rPr>
          <w:rFonts w:ascii="Arial" w:eastAsia="Arial" w:hAnsi="Arial" w:cs="Arial"/>
          <w:color w:val="000000"/>
          <w:sz w:val="24"/>
          <w:szCs w:val="24"/>
        </w:rPr>
        <w:fldChar w:fldCharType="separate"/>
      </w:r>
      <w:r w:rsidR="00A97008" w:rsidRPr="00C42BF6">
        <w:rPr>
          <w:rFonts w:ascii="Arial" w:hAnsi="Arial" w:cs="Arial"/>
          <w:color w:val="000000"/>
          <w:sz w:val="24"/>
          <w:vertAlign w:val="superscript"/>
        </w:rPr>
        <w:t>11</w:t>
      </w:r>
      <w:r w:rsidR="00261583"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This analysis generates a W score, which is the count of the number of sub-hypotheses that have passed for a given taxon. The W score is plotted against the </w:t>
      </w:r>
      <w:r w:rsidRPr="00C42BF6">
        <w:rPr>
          <w:rFonts w:ascii="Arial" w:eastAsia="Arial" w:hAnsi="Arial" w:cs="Arial"/>
          <w:color w:val="000000"/>
          <w:sz w:val="24"/>
          <w:szCs w:val="24"/>
        </w:rPr>
        <w:lastRenderedPageBreak/>
        <w:t>centered log-ratio (CLR) which is used to address the compositional nature of relative abundance data. Lastly, differential abundance of key microbial taxa and KEGG orthologs were further probed using the QIIME2 plugins Songbird</w:t>
      </w:r>
      <w:r w:rsidR="002D3D33" w:rsidRPr="00C42BF6">
        <w:rPr>
          <w:rFonts w:ascii="Arial" w:eastAsia="Arial" w:hAnsi="Arial" w:cs="Arial"/>
          <w:color w:val="000000"/>
          <w:sz w:val="24"/>
          <w:szCs w:val="24"/>
        </w:rPr>
        <w:fldChar w:fldCharType="begin"/>
      </w:r>
      <w:r w:rsidR="00A97008" w:rsidRPr="00C42BF6">
        <w:rPr>
          <w:rFonts w:ascii="Arial" w:eastAsia="Arial" w:hAnsi="Arial" w:cs="Arial"/>
          <w:color w:val="000000"/>
          <w:sz w:val="24"/>
          <w:szCs w:val="24"/>
        </w:rPr>
        <w:instrText xml:space="preserve"> ADDIN ZOTERO_ITEM CSL_CITATION {"citationID":"asv9p44opo","properties":{"formattedCitation":"\\super 12\\nosupersub{}","plainCitation":"12","noteIndex":0},"citationItems":[{"id":3527,"uris":["http://zotero.org/users/local/6BakpO76/items/IVGYY99X"],"itemData":{"id":3527,"type":"article-journal","abstract":"Differential abundance analysis is controversial throughout microbiome research. Gold standard approaches require laborious measurements of total microbial load, or absolute number of microorganisms, to accurately determine taxonomic shifts. Therefore, most studies rely on relative abundance data. Here, we demonstrate common pitfalls in comparing relative abundance across samples and identify two solutions that reveal microbial changes without the need to estimate total microbial load. We define the notion of \"reference frames\", which provide deep intuition about the compositional nature of microbiome data. In an oral time series experiment, reference frames alleviate false positives and produce consistent results on both raw and cell-count normalized data. Furthermore, reference frames identify consistent, differentially abundant microbes previously undetected in two independent published datasets from subjects with atopic dermatitis. These methods allow reassessment of published relative abundance data to reveal reproducible microbial changes from standard sequencing output without the need for new assays.","container-title":"Nature Communications","DOI":"10.1038/s41467-019-10656-5","ISSN":"2041-1723","issue":"1","journalAbbreviation":"Nat Commun","language":"eng","note":"PMID: 31222023\nPMCID: PMC6586903","page":"2719","source":"PubMed","title":"Establishing microbial composition measurement standards with reference frames","volume":"10","author":[{"family":"Morton","given":"James T."},{"family":"Marotz","given":"Clarisse"},{"family":"Washburne","given":"Alex"},{"family":"Silverman","given":"Justin"},{"family":"Zaramela","given":"Livia S."},{"family":"Edlund","given":"Anna"},{"family":"Zengler","given":"Karsten"},{"family":"Knight","given":"Rob"}],"issued":{"date-parts":[["2019",6,20]]}}}],"schema":"https://github.com/citation-style-language/schema/raw/master/csl-citation.json"} </w:instrText>
      </w:r>
      <w:r w:rsidR="002D3D33" w:rsidRPr="00C42BF6">
        <w:rPr>
          <w:rFonts w:ascii="Arial" w:eastAsia="Arial" w:hAnsi="Arial" w:cs="Arial"/>
          <w:color w:val="000000"/>
          <w:sz w:val="24"/>
          <w:szCs w:val="24"/>
        </w:rPr>
        <w:fldChar w:fldCharType="separate"/>
      </w:r>
      <w:r w:rsidR="00A97008" w:rsidRPr="00C42BF6">
        <w:rPr>
          <w:rFonts w:ascii="Arial" w:hAnsi="Arial" w:cs="Arial"/>
          <w:color w:val="000000"/>
          <w:sz w:val="24"/>
          <w:vertAlign w:val="superscript"/>
        </w:rPr>
        <w:t>12</w:t>
      </w:r>
      <w:r w:rsidR="002D3D33"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and Qurro</w:t>
      </w:r>
      <w:r w:rsidR="002D3D33" w:rsidRPr="00C42BF6">
        <w:rPr>
          <w:rFonts w:ascii="Arial" w:eastAsia="Arial" w:hAnsi="Arial" w:cs="Arial"/>
          <w:color w:val="000000"/>
          <w:sz w:val="24"/>
          <w:szCs w:val="24"/>
        </w:rPr>
        <w:fldChar w:fldCharType="begin"/>
      </w:r>
      <w:r w:rsidR="00A97008" w:rsidRPr="00C42BF6">
        <w:rPr>
          <w:rFonts w:ascii="Arial" w:eastAsia="Arial" w:hAnsi="Arial" w:cs="Arial"/>
          <w:color w:val="000000"/>
          <w:sz w:val="24"/>
          <w:szCs w:val="24"/>
        </w:rPr>
        <w:instrText xml:space="preserve"> ADDIN ZOTERO_ITEM CSL_CITATION {"citationID":"a1q2hq6hq3c","properties":{"formattedCitation":"\\super 13\\nosupersub{}","plainCitation":"13","noteIndex":0},"citationItems":[{"id":523,"uris":["http://zotero.org/users/local/6BakpO76/items/YCIEU5N5"],"itemData":{"id":523,"type":"article-journal","abstract":"Many tools for dealing with compositional ' 'omics' data produce feature-wise values that can be ranked in order to describe features' associations with some sort of variation. These values include differentials (which describe features' associations with specified covariates) and feature loadings (which describe features' associations with variation along a given axis in a biplot). Although prior work has discussed the use of these 'rankings' as a starting point for exploring the log-ratios of particularly high- or low-ranked features, such exploratory analyses have previously been done using custom code to visualize feature rankings and the log-ratios of interest. This approach is laborious, prone to errors and raises questions about reproducibility. To address these problems we introduce Qurro, a tool that interactively visualizes a plot of feature rankings (a 'rank plot') alongside a plot of selected features' log-ratios within samples (a 'sample plot'). Qurro's interface includes various controls that allow users to select features from along the rank plot to compute a log-ratio; this action updates both the rank plot (through highlighting selected features) and the sample plot (through displaying the current log-ratios of samples). Here, we demonstrate how this unique interface helps users explore feature rankings and log-ratios simply and effectively.","container-title":"NAR genomics and bioinformatics","DOI":"10.1093/nargab/lqaa023","ISSN":"2631-9268","issue":"2","journalAbbreviation":"NAR Genom Bioinform","language":"eng","note":"PMID: 32391521\nPMCID: PMC7194218","page":"lqaa023","source":"PubMed","title":"Visualizing 'omic feature rankings and log-ratios using Qurro","volume":"2","author":[{"family":"Fedarko","given":"Marcus W."},{"family":"Martino","given":"Cameron"},{"family":"Morton","given":"James T."},{"family":"González","given":"Antonio"},{"family":"Rahman","given":"Gibraan"},{"family":"Marotz","given":"Clarisse A."},{"family":"Minich","given":"Jeremiah J."},{"family":"Allen","given":"Eric E."},{"family":"Knight","given":"Rob"}],"issued":{"date-parts":[["2020",6]]}}}],"schema":"https://github.com/citation-style-language/schema/raw/master/csl-citation.json"} </w:instrText>
      </w:r>
      <w:r w:rsidR="002D3D33" w:rsidRPr="00C42BF6">
        <w:rPr>
          <w:rFonts w:ascii="Arial" w:eastAsia="Arial" w:hAnsi="Arial" w:cs="Arial"/>
          <w:color w:val="000000"/>
          <w:sz w:val="24"/>
          <w:szCs w:val="24"/>
        </w:rPr>
        <w:fldChar w:fldCharType="separate"/>
      </w:r>
      <w:r w:rsidR="00A97008" w:rsidRPr="00C42BF6">
        <w:rPr>
          <w:rFonts w:ascii="Arial" w:hAnsi="Arial" w:cs="Arial"/>
          <w:color w:val="000000"/>
          <w:sz w:val="24"/>
          <w:vertAlign w:val="superscript"/>
        </w:rPr>
        <w:t>13</w:t>
      </w:r>
      <w:r w:rsidR="002D3D33"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Songbird was used to determine the log-fold change of features with respect to age and treatment. These differentials were then visualized as feature rankings (log-ratios) using </w:t>
      </w:r>
      <w:proofErr w:type="spellStart"/>
      <w:r w:rsidRPr="00C42BF6">
        <w:rPr>
          <w:rFonts w:ascii="Arial" w:eastAsia="Arial" w:hAnsi="Arial" w:cs="Arial"/>
          <w:color w:val="000000"/>
          <w:sz w:val="24"/>
          <w:szCs w:val="24"/>
        </w:rPr>
        <w:t>Qurro</w:t>
      </w:r>
      <w:proofErr w:type="spellEnd"/>
      <w:r w:rsidRPr="00C42BF6">
        <w:rPr>
          <w:rFonts w:ascii="Arial" w:eastAsia="Arial" w:hAnsi="Arial" w:cs="Arial"/>
          <w:color w:val="000000"/>
          <w:sz w:val="24"/>
          <w:szCs w:val="24"/>
        </w:rPr>
        <w:t xml:space="preserve">. A heatmap showing the </w:t>
      </w:r>
      <w:r w:rsidR="00B44BA0" w:rsidRPr="00C42BF6">
        <w:rPr>
          <w:rFonts w:ascii="Arial" w:eastAsia="Arial" w:hAnsi="Arial" w:cs="Arial"/>
          <w:color w:val="000000"/>
          <w:sz w:val="24"/>
          <w:szCs w:val="24"/>
        </w:rPr>
        <w:t>Bray</w:t>
      </w:r>
      <w:r w:rsidRPr="00C42BF6">
        <w:rPr>
          <w:rFonts w:ascii="Arial" w:eastAsia="Arial" w:hAnsi="Arial" w:cs="Arial"/>
          <w:color w:val="000000"/>
          <w:sz w:val="24"/>
          <w:szCs w:val="24"/>
        </w:rPr>
        <w:t>-</w:t>
      </w:r>
      <w:r w:rsidR="00B44BA0" w:rsidRPr="00C42BF6">
        <w:rPr>
          <w:rFonts w:ascii="Arial" w:eastAsia="Arial" w:hAnsi="Arial" w:cs="Arial"/>
          <w:color w:val="000000"/>
          <w:sz w:val="24"/>
          <w:szCs w:val="24"/>
        </w:rPr>
        <w:t xml:space="preserve">Curtis </w:t>
      </w:r>
      <w:r w:rsidRPr="00C42BF6">
        <w:rPr>
          <w:rFonts w:ascii="Arial" w:eastAsia="Arial" w:hAnsi="Arial" w:cs="Arial"/>
          <w:color w:val="000000"/>
          <w:sz w:val="24"/>
          <w:szCs w:val="24"/>
        </w:rPr>
        <w:t xml:space="preserve">differences clustered by median in KEGG ortholog pathways between age groups was generated using QIIME2. Groupings of specific bacteria or KEGG pathways, listed in </w:t>
      </w:r>
      <w:r w:rsidRPr="00C42BF6">
        <w:rPr>
          <w:rFonts w:ascii="Arial" w:eastAsia="Arial" w:hAnsi="Arial" w:cs="Arial"/>
          <w:b/>
          <w:bCs/>
          <w:color w:val="000000"/>
          <w:sz w:val="24"/>
          <w:szCs w:val="24"/>
        </w:rPr>
        <w:t>Supplementary Table S2</w:t>
      </w:r>
      <w:r w:rsidRPr="00C42BF6">
        <w:rPr>
          <w:rFonts w:ascii="Arial" w:eastAsia="Arial" w:hAnsi="Arial" w:cs="Arial"/>
          <w:color w:val="000000"/>
          <w:sz w:val="24"/>
          <w:szCs w:val="24"/>
        </w:rPr>
        <w:t>, were then plotted as the natural log ratio versus the top 5% of all features present in all samples.</w:t>
      </w:r>
    </w:p>
    <w:p w14:paraId="6D6AA226" w14:textId="77777777"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t>Main endothelium-dependent dilation (EDD) experiments and pharmaco-dissection.</w:t>
      </w:r>
    </w:p>
    <w:p w14:paraId="2EDB729C" w14:textId="1FB84954" w:rsidR="277E52C9" w:rsidRPr="00C42BF6" w:rsidRDefault="00476E15" w:rsidP="00FF30AE">
      <w:pPr>
        <w:spacing w:line="480" w:lineRule="auto"/>
        <w:ind w:firstLine="720"/>
        <w:rPr>
          <w:rFonts w:ascii="Arial" w:hAnsi="Arial" w:cs="Arial"/>
          <w:color w:val="000000"/>
          <w:sz w:val="24"/>
          <w:szCs w:val="24"/>
        </w:rPr>
      </w:pPr>
      <w:r>
        <w:rPr>
          <w:rFonts w:ascii="Arial" w:eastAsia="Arial" w:hAnsi="Arial" w:cs="Arial"/>
          <w:color w:val="000000" w:themeColor="text1"/>
          <w:sz w:val="24"/>
          <w:szCs w:val="24"/>
        </w:rPr>
        <w:t>A</w:t>
      </w:r>
      <w:r w:rsidR="02615A84" w:rsidRPr="02615A84">
        <w:rPr>
          <w:rFonts w:ascii="Arial" w:eastAsia="Arial" w:hAnsi="Arial" w:cs="Arial"/>
          <w:color w:val="000000" w:themeColor="text1"/>
          <w:sz w:val="24"/>
          <w:szCs w:val="24"/>
        </w:rPr>
        <w:t xml:space="preserve">fter cannulation, carotid arteries were pressurized for 45 minutes and kept at 37°C in physiological saline solution (PSS) before the start of experiments. Vessels were pre-constricted with phenylephrine (2 </w:t>
      </w:r>
      <w:proofErr w:type="spellStart"/>
      <w:r w:rsidR="02615A84" w:rsidRPr="02615A84">
        <w:rPr>
          <w:rFonts w:ascii="Arial" w:eastAsia="Arial" w:hAnsi="Arial" w:cs="Arial"/>
          <w:color w:val="000000" w:themeColor="text1"/>
          <w:sz w:val="24"/>
          <w:szCs w:val="24"/>
        </w:rPr>
        <w:t>μM</w:t>
      </w:r>
      <w:proofErr w:type="spellEnd"/>
      <w:r w:rsidR="02615A84" w:rsidRPr="02615A84">
        <w:rPr>
          <w:rFonts w:ascii="Arial" w:eastAsia="Arial" w:hAnsi="Arial" w:cs="Arial"/>
          <w:color w:val="000000" w:themeColor="text1"/>
          <w:sz w:val="24"/>
          <w:szCs w:val="24"/>
        </w:rPr>
        <w:t>; Sigma-Aldrich Corp., St. Louis, MO) for 5 minutes to induce basal tone before each dose-response experiment. EDD was assessed to increasing doses of acetylcholine (</w:t>
      </w:r>
      <w:proofErr w:type="spellStart"/>
      <w:r w:rsidR="02615A84" w:rsidRPr="02615A84">
        <w:rPr>
          <w:rFonts w:ascii="Arial" w:eastAsia="Arial" w:hAnsi="Arial" w:cs="Arial"/>
          <w:color w:val="000000" w:themeColor="text1"/>
          <w:sz w:val="24"/>
          <w:szCs w:val="24"/>
        </w:rPr>
        <w:t>ACh</w:t>
      </w:r>
      <w:proofErr w:type="spellEnd"/>
      <w:r w:rsidR="02615A84" w:rsidRPr="02615A84">
        <w:rPr>
          <w:rFonts w:ascii="Arial" w:eastAsia="Arial" w:hAnsi="Arial" w:cs="Arial"/>
          <w:color w:val="000000" w:themeColor="text1"/>
          <w:sz w:val="24"/>
          <w:szCs w:val="24"/>
        </w:rPr>
        <w:t>; 10</w:t>
      </w:r>
      <w:r w:rsidR="02615A84" w:rsidRPr="02615A84">
        <w:rPr>
          <w:rFonts w:ascii="Arial" w:eastAsia="Arial" w:hAnsi="Arial" w:cs="Arial"/>
          <w:color w:val="000000" w:themeColor="text1"/>
          <w:sz w:val="24"/>
          <w:szCs w:val="24"/>
          <w:vertAlign w:val="superscript"/>
        </w:rPr>
        <w:t>-9</w:t>
      </w:r>
      <w:r w:rsidR="02615A84" w:rsidRPr="02615A84">
        <w:rPr>
          <w:rFonts w:ascii="Arial" w:eastAsia="Arial" w:hAnsi="Arial" w:cs="Arial"/>
          <w:color w:val="000000" w:themeColor="text1"/>
          <w:sz w:val="24"/>
          <w:szCs w:val="24"/>
        </w:rPr>
        <w:t>-10</w:t>
      </w:r>
      <w:r w:rsidR="02615A84" w:rsidRPr="02615A84">
        <w:rPr>
          <w:rFonts w:ascii="Arial" w:eastAsia="Arial" w:hAnsi="Arial" w:cs="Arial"/>
          <w:color w:val="000000" w:themeColor="text1"/>
          <w:sz w:val="24"/>
          <w:szCs w:val="24"/>
          <w:vertAlign w:val="superscript"/>
        </w:rPr>
        <w:t>-4</w:t>
      </w:r>
      <w:r w:rsidR="02615A84" w:rsidRPr="02615A84">
        <w:rPr>
          <w:rFonts w:ascii="Arial" w:eastAsia="Arial" w:hAnsi="Arial" w:cs="Arial"/>
          <w:color w:val="000000" w:themeColor="text1"/>
          <w:sz w:val="24"/>
          <w:szCs w:val="24"/>
        </w:rPr>
        <w:t xml:space="preserve"> mol/L; Sigma-Aldrich Corp.) for 2 minutes per dose</w:t>
      </w:r>
      <w:r w:rsidR="00FB63B2" w:rsidRPr="02615A84">
        <w:rPr>
          <w:rFonts w:ascii="Arial" w:eastAsia="Arial" w:hAnsi="Arial" w:cs="Arial"/>
          <w:color w:val="000000" w:themeColor="text1"/>
          <w:sz w:val="24"/>
          <w:szCs w:val="24"/>
        </w:rPr>
        <w:fldChar w:fldCharType="begin"/>
      </w:r>
      <w:r w:rsidR="00F80CF1">
        <w:rPr>
          <w:rFonts w:ascii="Arial" w:eastAsia="Arial" w:hAnsi="Arial" w:cs="Arial"/>
          <w:color w:val="000000" w:themeColor="text1"/>
          <w:sz w:val="24"/>
          <w:szCs w:val="24"/>
        </w:rPr>
        <w:instrText xml:space="preserve"> ADDIN ZOTERO_ITEM CSL_CITATION {"citationID":"lGV4rOGu","properties":{"formattedCitation":"\\super 14\\uc0\\u8211{}16\\nosupersub{}","plainCitation":"14–16","noteIndex":0},"citationItems":[{"id":1765,"uris":["http://zotero.org/users/local/6BakpO76/items/V86396Y8"],"itemData":{"id":1765,"type":"article-journal","abstract":"Vascular dysfunction: develops progressively with ageing; increases the risk of cardiovascular diseases (CVD); and is characterized by endothelial dysfunction and arterial stiffening, which are primarily mediated by superoxide-driven oxidative stress and consequently reduced nitric oxide (NO) bioavailability and arterial structural changes. Interventions initiated before vascular dysfunction manifests may have more promise for reducing CVD risk than interventions targeting established dysfunction. Gut microbiome-derived trimethylamine N-oxide (TMAO) induces vascular dysfunction, is associated with higher CV risk, and can be suppressed by 3,3-dimethyl-1-butanol (DMB). We investigated whether DMB supplementation could prevent age-related vascular dysfunction in C57BL/6N mice when initiated prior to development of dysfunction. Mice received drinking water with 1% DMB or normal drinking water (control) from midlife (18 months) until being studied at 21, 24 or 27 months of age, and were compared to young adult (5 month) mice. Endothelial function [carotid artery endothelium-dependent dilatation (EDD) to acetylcholine; pressure myography] progressively declined with age in control mice, which was fully prevented by DMB via higher NO-mediated EDD and lower superoxide-related suppression of EDD (normalization of EDD with the superoxide dismutase mimetic TEMPOL). In vivo aortic stiffness (pulse wave velocity) increased progressively with age in controls, but DMB attenuated stiffening by </w:instrText>
      </w:r>
      <w:r w:rsidR="00F80CF1">
        <w:rPr>
          <w:rFonts w:ascii="Cambria Math" w:eastAsia="Arial" w:hAnsi="Cambria Math" w:cs="Cambria Math"/>
          <w:color w:val="000000" w:themeColor="text1"/>
          <w:sz w:val="24"/>
          <w:szCs w:val="24"/>
        </w:rPr>
        <w:instrText>∼</w:instrText>
      </w:r>
      <w:r w:rsidR="00F80CF1">
        <w:rPr>
          <w:rFonts w:ascii="Arial" w:eastAsia="Arial" w:hAnsi="Arial" w:cs="Arial"/>
          <w:color w:val="000000" w:themeColor="text1"/>
          <w:sz w:val="24"/>
          <w:szCs w:val="24"/>
        </w:rPr>
        <w:instrText xml:space="preserve"> 70%, probably due to preservation of endothelial function, as DMB did not affect aortic intrinsic mechanical (structural) stiffness (stress-strain testing) nor adventitial abundance of the arterial structural protein collagen. Our findings indicate that long-term DMB supplementation prevents/attenuates age-related vascular dysfunction, and therefore has potential for translation to humans for reducing CV risk with ageing. KEY POINTS: Vascular dysfunction, characterized by endothelial dysfunction and arterial stiffening, develops progressively with ageing and increases the risk of cardiovascular diseases (CVD). Interventions aimed at preventing the development of CV risk factors have more potential for preventing CVD relative to those aimed at reversing established dysfunction. The gut microbiome-derived metabolite trimethylamine N-oxide (TMAO) induces vascular dysfunction, is associated with higher CV risk and can be suppressed by supplementation with 3,3-dimethyl-1-butanol (DMB). In mice, DMB prevented the development of endothelial dysfunction and delayed and attenuated in vivo arterial stiffening with ageing when supplementation was initiated in midlife, prior to the development of dysfunction. DMB supplementation or other TMAO-suppressing interventions have potential for translation to humans for reducing CV risk with ageing.","container-title":"The Journal of Physiology","DOI":"10.1113/JP283581","ISSN":"1469-7793","issue":"21","journalAbbreviation":"J Physiol","language":"eng","note":"PMID: 36111692","page":"4633-4651","source":"PubMed","title":"Initiation of 3,3-dimethyl-1-butanol at midlife prevents endothelial dysfunction and attenuates in vivo aortic stiffening with ageing in mice","volume":"600","author":[{"family":"Casso","given":"Abigail G."},{"family":"VanDongen","given":"Nicholas S."},{"family":"Gioscia-Ryan","given":"Rachel A."},{"family":"Clayton","given":"Zachary S."},{"family":"Greenberg","given":"Nathan T."},{"family":"Ziemba","given":"Brian P."},{"family":"Hutton","given":"David A."},{"family":"Neilson","given":"Andrew P."},{"family":"Davy","given":"Kevin P."},{"family":"Seals","given":"Douglas R."},{"family":"Brunt","given":"Vienna E."}],"issued":{"date-parts":[["2022",11]]}}},{"id":434,"uris":["http://zotero.org/users/local/6BakpO76/items/ZNT7HR6B"],"itemData":{"id":434,"type":"article-journal","abstract":"Age-related vascular endothelial dysfunction is a major antecedent to cardiovascular diseases. We investigated whether increased circulating levels of the gut microbiome-generated metabolite trimethylamine-N-oxide induces endothelial dysfunction with aging. In healthy humans, plasma trimethylamine-N-oxide was higher in middle-aged/older (64±7 years) versus young (22±2 years) adults (6.5±0.7 versus 1.6±0.2 µmol/L) and inversely related to brachial artery flow-mediated dilation (r\n                        2\n                    =0.29, P&lt;0.00001). In young mice, 6 months of dietary supplementation with trimethylamine-N-oxide induced an aging-like impairment in carotid artery endothelium-dependent dilation to acetylcholine versus control feeding (peak dilation: 79±3% versus 95±3%, P&lt;0.01). This impairment was accompanied by increased vascular nitrotyrosine, a marker of oxidative stress, and reversed by the superoxide dismutase mimetic 4-hydroxy-2,2,6,6-tetramethylpiperidin-1-oxyl. Trimethylamine-N-oxide supplementation also reduced activation of endothelial nitric oxide synthase and impaired nitric oxide-mediated dilation, as assessed with the nitric oxide synthase inhibitor L-NAME (NG-nitro-L-arginine methyl ester). Acute incubation of carotid arteries with trimethylamine-N-oxide recapitulated these events. Next, treatment with 3,3-dimethyl-1-butanol for 8 to 10 weeks to suppress trimethylamine-N-oxide selectively improved endothelium-dependent dilation in old mice to young levels (peak: 90±2%) by normalizing vascular superoxide production, restoring nitric oxide-mediated dilation, and ameliorating superoxide-related suppression of endothelium-dependent dilation. Lastly, among healthy middle-aged/older adults, higher plasma trimethylamine-N-oxide was associated with greater nitrotyrosine abundance in biopsied endothelial cells, and infusion of the antioxidant ascorbic acid restored flow-mediated dilation to young levels, indicating tonic oxidative stress-related suppression of endothelial function with higher circulating trimethylamine-N-oxide. Using multiple experimental approaches in mice and humans, we demonstrate a clear role of trimethylamine-N-oxide in promoting age-related endothelial dysfunction via oxidative stress, which may have implications for prevention of cardiovascular diseases.","container-title":"Hypertension (Dallas, Tex.: 1979)","DOI":"10.1161/HYPERTENSIONAHA.120.14759","ISSN":"1524-4563","issue":"1","journalAbbreviation":"Hypertension","language":"eng","note":"PMID: 32520619\nPMCID: PMC7295014","page":"101-112","source":"PubMed","title":"Trimethylamine-N-Oxide Promotes Age-Related Vascular Oxidative Stress and Endothelial Dysfunction in Mice and Healthy Humans","volume":"76","author":[{"family":"Brunt","given":"Vienna E."},{"family":"Gioscia-Ryan","given":"Rachel A."},{"family":"Casso","given":"Abigail G."},{"family":"VanDongen","given":"Nicholas S."},{"family":"Ziemba","given":"Brian P."},{"family":"Sapinsley","given":"Zachary J."},{"family":"Richey","given":"James J."},{"family":"Zigler","given":"Melanie C."},{"family":"Neilson","given":"Andrew P."},{"family":"Davy","given":"Kevin P."},{"family":"Seals","given":"Douglas R."}],"issued":{"date-parts":[["2020",7]]}}},{"id":1312,"uris":["http://zotero.org/users/local/6BakpO76/items/ETDJB5QG"],"itemData":{"id":1312,"type":"article-journal","abstract":"To test the hypothesis that the antioxidant enzyme superoxide dismutase (SOD) mimetic TEMPOL improves arterial aging, young (Y, 4-6 months) and old (O, 26-28 months) male C57BL6 mice received regular or TEMPOL-supplemented (1mM) drinking water for 3 weeks (n = 8 per group). Aortic superoxide was 65% greater in O (P &lt; 0.05 vs. Y), which was normalized by TEMPOL. O had large elastic artery stiffening, as indicated by greater aortic pulse wave velocity (aPWV, 508 ± 22 vs. 418 ± 22 AU), which was associated with increased adventitial collagen I expression (P &lt; 0.05 vs. Y). TEMPOL reversed the age-associated increases in aPWV (434 ± 21 AU) and collagen in vivo, and SOD reversed the increases in collagen I in adventitial fibroblasts from older rats in vitro. Isolated carotid arteries of O had impaired endothelial function as indicated by reduced acetylcholine-stimulated endothelium-dependent dilation (EDD) (75.6 ± 3.2 vs. 94.5 ± 2.0%) mediated by reduced nitric oxide (NO) bioavailability (L-NAME) associated with decreased endothelial NO synthase (eNOS) expression (P &lt; 0.05 vs. Y). TEMPOL restored EDD (94.5 ± 1.4%), NO bioavailability and eNOS in O. Nitrotyrosine and expression of NADPH oxidase were ~100-200% greater, and MnSOD was ~75% lower in O (P &lt; 0.05 vs. Y). TEMPOL normalized nitrotyrosine and NADPH oxidase in O, without affecting MnSOD. Aortic pro-inflammatory cytokines were greater in O (P &lt; 0.05 vs. Y) and normalized by TEMPOL. Short-term treatment of excessive superoxide with TEMPOL ameliorates large elastic artery stiffening and endothelial dysfunction with aging, and this is associated with normalization of arterial collagen I, eNOS, oxidative stress, and inflammation.","container-title":"Aging Cell","DOI":"10.1111/j.1474-9726.2011.00783.x","ISSN":"1474-9726","issue":"2","journalAbbreviation":"Aging Cell","language":"eng","note":"PMID: 22168264\nPMCID: PMC3409251","page":"269-276","source":"PubMed","title":"Superoxide-lowering therapy with TEMPOL reverses arterial dysfunction with aging in mice","volume":"11","author":[{"family":"Fleenor","given":"Bradley S."},{"family":"Seals","given":"Douglas R."},{"family":"Zigler","given":"Melanie L."},{"family":"Sindler","given":"Amy L."}],"issued":{"date-parts":[["2012",4]]}}}],"schema":"https://github.com/citation-style-language/schema/raw/master/csl-citation.json"} </w:instrText>
      </w:r>
      <w:r w:rsidR="00FB63B2" w:rsidRPr="02615A84">
        <w:rPr>
          <w:rFonts w:ascii="Arial" w:eastAsia="Arial" w:hAnsi="Arial" w:cs="Arial"/>
          <w:color w:val="000000" w:themeColor="text1"/>
          <w:sz w:val="24"/>
          <w:szCs w:val="24"/>
        </w:rPr>
        <w:fldChar w:fldCharType="separate"/>
      </w:r>
      <w:r w:rsidR="00F80CF1" w:rsidRPr="00F80CF1">
        <w:rPr>
          <w:rFonts w:ascii="Arial" w:hAnsi="Arial" w:cs="Arial"/>
          <w:color w:val="000000"/>
          <w:sz w:val="24"/>
          <w:vertAlign w:val="superscript"/>
        </w:rPr>
        <w:t>14–16</w:t>
      </w:r>
      <w:r w:rsidR="00FB63B2" w:rsidRPr="02615A84">
        <w:rPr>
          <w:rFonts w:ascii="Arial" w:eastAsia="Arial" w:hAnsi="Arial" w:cs="Arial"/>
          <w:color w:val="000000" w:themeColor="text1"/>
          <w:sz w:val="24"/>
          <w:szCs w:val="24"/>
        </w:rPr>
        <w:fldChar w:fldCharType="end"/>
      </w:r>
      <w:r w:rsidR="02615A84" w:rsidRPr="02615A84">
        <w:rPr>
          <w:rFonts w:ascii="Arial" w:eastAsia="Arial" w:hAnsi="Arial" w:cs="Arial"/>
          <w:color w:val="000000" w:themeColor="text1"/>
          <w:sz w:val="24"/>
          <w:szCs w:val="24"/>
        </w:rPr>
        <w:t xml:space="preserve">. </w:t>
      </w:r>
    </w:p>
    <w:p w14:paraId="33C8863E" w14:textId="65A5602D"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 xml:space="preserve">To determine the mechanisms of age-related impairments in vasodilatory function and improvements with the interventions, vessels were incubated with one of the following pharmacological agents prior to an additional </w:t>
      </w:r>
      <w:proofErr w:type="spellStart"/>
      <w:r w:rsidRPr="00C42BF6">
        <w:rPr>
          <w:rFonts w:ascii="Arial" w:eastAsia="Arial" w:hAnsi="Arial" w:cs="Arial"/>
          <w:color w:val="000000"/>
          <w:sz w:val="24"/>
          <w:szCs w:val="24"/>
        </w:rPr>
        <w:t>ACh</w:t>
      </w:r>
      <w:proofErr w:type="spellEnd"/>
      <w:r w:rsidRPr="00C42BF6">
        <w:rPr>
          <w:rFonts w:ascii="Arial" w:eastAsia="Arial" w:hAnsi="Arial" w:cs="Arial"/>
          <w:color w:val="000000"/>
          <w:sz w:val="24"/>
          <w:szCs w:val="24"/>
        </w:rPr>
        <w:t xml:space="preserve"> dose-response experiment: 1) the NO synthase inhibitor N</w:t>
      </w:r>
      <w:r w:rsidRPr="00C42BF6">
        <w:rPr>
          <w:rFonts w:ascii="Arial" w:eastAsia="Arial" w:hAnsi="Arial" w:cs="Arial"/>
          <w:color w:val="000000"/>
          <w:sz w:val="24"/>
          <w:szCs w:val="24"/>
          <w:vertAlign w:val="superscript"/>
        </w:rPr>
        <w:t>G</w:t>
      </w:r>
      <w:r w:rsidRPr="00C42BF6">
        <w:rPr>
          <w:rFonts w:ascii="Arial" w:eastAsia="Arial" w:hAnsi="Arial" w:cs="Arial"/>
          <w:color w:val="000000"/>
          <w:sz w:val="24"/>
          <w:szCs w:val="24"/>
        </w:rPr>
        <w:t>-nitro-L-arginine methyl ester (L-NAME; 0.1 mM; Sigma-Aldrich Corp.) for 30 minutes, to determine the contribution of NO to the overall dilator response; or 2) the superoxide dismutase mimetic 4-Hydroxy-TEMPO,4-</w:t>
      </w:r>
      <w:r w:rsidRPr="00C42BF6">
        <w:rPr>
          <w:rFonts w:ascii="Arial" w:eastAsia="Arial" w:hAnsi="Arial" w:cs="Arial"/>
          <w:color w:val="000000"/>
          <w:sz w:val="24"/>
          <w:szCs w:val="24"/>
        </w:rPr>
        <w:lastRenderedPageBreak/>
        <w:t xml:space="preserve">Hydroxy-2,2,6,6-tetramethylpiperidine-1-oxyl (TEMPOL; 1 mM; Sigma-Aldrich Corp.) for 60 minutes, to determine </w:t>
      </w:r>
      <w:r w:rsidR="00B0083F" w:rsidRPr="00C42BF6">
        <w:rPr>
          <w:rFonts w:ascii="Arial" w:eastAsia="Arial" w:hAnsi="Arial" w:cs="Arial"/>
          <w:color w:val="000000"/>
          <w:sz w:val="24"/>
          <w:szCs w:val="24"/>
        </w:rPr>
        <w:t>reactive oxygen species</w:t>
      </w:r>
      <w:r w:rsidRPr="00C42BF6">
        <w:rPr>
          <w:rFonts w:ascii="Arial" w:eastAsia="Arial" w:hAnsi="Arial" w:cs="Arial"/>
          <w:color w:val="000000"/>
          <w:sz w:val="24"/>
          <w:szCs w:val="24"/>
        </w:rPr>
        <w:t>-related suppression of EDD</w:t>
      </w:r>
      <w:r w:rsidR="00281A47" w:rsidRPr="00C42BF6">
        <w:rPr>
          <w:rFonts w:ascii="Arial" w:eastAsia="Arial" w:hAnsi="Arial" w:cs="Arial"/>
          <w:color w:val="000000"/>
          <w:sz w:val="24"/>
          <w:szCs w:val="24"/>
        </w:rPr>
        <w:fldChar w:fldCharType="begin"/>
      </w:r>
      <w:r w:rsidR="00F80CF1">
        <w:rPr>
          <w:rFonts w:ascii="Arial" w:eastAsia="Arial" w:hAnsi="Arial" w:cs="Arial"/>
          <w:color w:val="000000"/>
          <w:sz w:val="24"/>
          <w:szCs w:val="24"/>
        </w:rPr>
        <w:instrText xml:space="preserve"> ADDIN ZOTERO_ITEM CSL_CITATION {"citationID":"JxWKxl0J","properties":{"formattedCitation":"\\super 14\\uc0\\u8211{}16\\nosupersub{}","plainCitation":"14–16","noteIndex":0},"citationItems":[{"id":1765,"uris":["http://zotero.org/users/local/6BakpO76/items/V86396Y8"],"itemData":{"id":1765,"type":"article-journal","abstract":"Vascular dysfunction: develops progressively with ageing; increases the risk of cardiovascular diseases (CVD); and is characterized by endothelial dysfunction and arterial stiffening, which are primarily mediated by superoxide-driven oxidative stress and consequently reduced nitric oxide (NO) bioavailability and arterial structural changes. Interventions initiated before vascular dysfunction manifests may have more promise for reducing CVD risk than interventions targeting established dysfunction. Gut microbiome-derived trimethylamine N-oxide (TMAO) induces vascular dysfunction, is associated with higher CV risk, and can be suppressed by 3,3-dimethyl-1-butanol (DMB). We investigated whether DMB supplementation could prevent age-related vascular dysfunction in C57BL/6N mice when initiated prior to development of dysfunction. Mice received drinking water with 1% DMB or normal drinking water (control) from midlife (18 months) until being studied at 21, 24 or 27 months of age, and were compared to young adult (5 month) mice. Endothelial function [carotid artery endothelium-dependent dilatation (EDD) to acetylcholine; pressure myography] progressively declined with age in control mice, which was fully prevented by DMB via higher NO-mediated EDD and lower superoxide-related suppression of EDD (normalization of EDD with the superoxide dismutase mimetic TEMPOL). In vivo aortic stiffness (pulse wave velocity) increased progressively with age in controls, but DMB attenuated stiffening by </w:instrText>
      </w:r>
      <w:r w:rsidR="00F80CF1">
        <w:rPr>
          <w:rFonts w:ascii="Cambria Math" w:eastAsia="Arial" w:hAnsi="Cambria Math" w:cs="Cambria Math"/>
          <w:color w:val="000000"/>
          <w:sz w:val="24"/>
          <w:szCs w:val="24"/>
        </w:rPr>
        <w:instrText>∼</w:instrText>
      </w:r>
      <w:r w:rsidR="00F80CF1">
        <w:rPr>
          <w:rFonts w:ascii="Arial" w:eastAsia="Arial" w:hAnsi="Arial" w:cs="Arial"/>
          <w:color w:val="000000"/>
          <w:sz w:val="24"/>
          <w:szCs w:val="24"/>
        </w:rPr>
        <w:instrText xml:space="preserve"> 70%, probably due to preservation of endothelial function, as DMB did not affect aortic intrinsic mechanical (structural) stiffness (stress-strain testing) nor adventitial abundance of the arterial structural protein collagen. Our findings indicate that long-term DMB supplementation prevents/attenuates age-related vascular dysfunction, and therefore has potential for translation to humans for reducing CV risk with ageing. KEY POINTS: Vascular dysfunction, characterized by endothelial dysfunction and arterial stiffening, develops progressively with ageing and increases the risk of cardiovascular diseases (CVD). Interventions aimed at preventing the development of CV risk factors have more potential for preventing CVD relative to those aimed at reversing established dysfunction. The gut microbiome-derived metabolite trimethylamine N-oxide (TMAO) induces vascular dysfunction, is associated with higher CV risk and can be suppressed by supplementation with 3,3-dimethyl-1-butanol (DMB). In mice, DMB prevented the development of endothelial dysfunction and delayed and attenuated in vivo arterial stiffening with ageing when supplementation was initiated in midlife, prior to the development of dysfunction. DMB supplementation or other TMAO-suppressing interventions have potential for translation to humans for reducing CV risk with ageing.","container-title":"The Journal of Physiology","DOI":"10.1113/JP283581","ISSN":"1469-7793","issue":"21","journalAbbreviation":"J Physiol","language":"eng","note":"PMID: 36111692","page":"4633-4651","source":"PubMed","title":"Initiation of 3,3-dimethyl-1-butanol at midlife prevents endothelial dysfunction and attenuates in vivo aortic stiffening with ageing in mice","volume":"600","author":[{"family":"Casso","given":"Abigail G."},{"family":"VanDongen","given":"Nicholas S."},{"family":"Gioscia-Ryan","given":"Rachel A."},{"family":"Clayton","given":"Zachary S."},{"family":"Greenberg","given":"Nathan T."},{"family":"Ziemba","given":"Brian P."},{"family":"Hutton","given":"David A."},{"family":"Neilson","given":"Andrew P."},{"family":"Davy","given":"Kevin P."},{"family":"Seals","given":"Douglas R."},{"family":"Brunt","given":"Vienna E."}],"issued":{"date-parts":[["2022",11]]}}},{"id":434,"uris":["http://zotero.org/users/local/6BakpO76/items/ZNT7HR6B"],"itemData":{"id":434,"type":"article-journal","abstract":"Age-related vascular endothelial dysfunction is a major antecedent to cardiovascular diseases. We investigated whether increased circulating levels of the gut microbiome-generated metabolite trimethylamine-N-oxide induces endothelial dysfunction with aging. In healthy humans, plasma trimethylamine-N-oxide was higher in middle-aged/older (64±7 years) versus young (22±2 years) adults (6.5±0.7 versus 1.6±0.2 µmol/L) and inversely related to brachial artery flow-mediated dilation (r\n                        2\n                    =0.29, P&lt;0.00001). In young mice, 6 months of dietary supplementation with trimethylamine-N-oxide induced an aging-like impairment in carotid artery endothelium-dependent dilation to acetylcholine versus control feeding (peak dilation: 79±3% versus 95±3%, P&lt;0.01). This impairment was accompanied by increased vascular nitrotyrosine, a marker of oxidative stress, and reversed by the superoxide dismutase mimetic 4-hydroxy-2,2,6,6-tetramethylpiperidin-1-oxyl. Trimethylamine-N-oxide supplementation also reduced activation of endothelial nitric oxide synthase and impaired nitric oxide-mediated dilation, as assessed with the nitric oxide synthase inhibitor L-NAME (NG-nitro-L-arginine methyl ester). Acute incubation of carotid arteries with trimethylamine-N-oxide recapitulated these events. Next, treatment with 3,3-dimethyl-1-butanol for 8 to 10 weeks to suppress trimethylamine-N-oxide selectively improved endothelium-dependent dilation in old mice to young levels (peak: 90±2%) by normalizing vascular superoxide production, restoring nitric oxide-mediated dilation, and ameliorating superoxide-related suppression of endothelium-dependent dilation. Lastly, among healthy middle-aged/older adults, higher plasma trimethylamine-N-oxide was associated with greater nitrotyrosine abundance in biopsied endothelial cells, and infusion of the antioxidant ascorbic acid restored flow-mediated dilation to young levels, indicating tonic oxidative stress-related suppression of endothelial function with higher circulating trimethylamine-N-oxide. Using multiple experimental approaches in mice and humans, we demonstrate a clear role of trimethylamine-N-oxide in promoting age-related endothelial dysfunction via oxidative stress, which may have implications for prevention of cardiovascular diseases.","container-title":"Hypertension (Dallas, Tex.: 1979)","DOI":"10.1161/HYPERTENSIONAHA.120.14759","ISSN":"1524-4563","issue":"1","journalAbbreviation":"Hypertension","language":"eng","note":"PMID: 32520619\nPMCID: PMC7295014","page":"101-112","source":"PubMed","title":"Trimethylamine-N-Oxide Promotes Age-Related Vascular Oxidative Stress and Endothelial Dysfunction in Mice and Healthy Humans","volume":"76","author":[{"family":"Brunt","given":"Vienna E."},{"family":"Gioscia-Ryan","given":"Rachel A."},{"family":"Casso","given":"Abigail G."},{"family":"VanDongen","given":"Nicholas S."},{"family":"Ziemba","given":"Brian P."},{"family":"Sapinsley","given":"Zachary J."},{"family":"Richey","given":"James J."},{"family":"Zigler","given":"Melanie C."},{"family":"Neilson","given":"Andrew P."},{"family":"Davy","given":"Kevin P."},{"family":"Seals","given":"Douglas R."}],"issued":{"date-parts":[["2020",7]]}}},{"id":1312,"uris":["http://zotero.org/users/local/6BakpO76/items/ETDJB5QG"],"itemData":{"id":1312,"type":"article-journal","abstract":"To test the hypothesis that the antioxidant enzyme superoxide dismutase (SOD) mimetic TEMPOL improves arterial aging, young (Y, 4-6 months) and old (O, 26-28 months) male C57BL6 mice received regular or TEMPOL-supplemented (1mM) drinking water for 3 weeks (n = 8 per group). Aortic superoxide was 65% greater in O (P &lt; 0.05 vs. Y), which was normalized by TEMPOL. O had large elastic artery stiffening, as indicated by greater aortic pulse wave velocity (aPWV, 508 ± 22 vs. 418 ± 22 AU), which was associated with increased adventitial collagen I expression (P &lt; 0.05 vs. Y). TEMPOL reversed the age-associated increases in aPWV (434 ± 21 AU) and collagen in vivo, and SOD reversed the increases in collagen I in adventitial fibroblasts from older rats in vitro. Isolated carotid arteries of O had impaired endothelial function as indicated by reduced acetylcholine-stimulated endothelium-dependent dilation (EDD) (75.6 ± 3.2 vs. 94.5 ± 2.0%) mediated by reduced nitric oxide (NO) bioavailability (L-NAME) associated with decreased endothelial NO synthase (eNOS) expression (P &lt; 0.05 vs. Y). TEMPOL restored EDD (94.5 ± 1.4%), NO bioavailability and eNOS in O. Nitrotyrosine and expression of NADPH oxidase were ~100-200% greater, and MnSOD was ~75% lower in O (P &lt; 0.05 vs. Y). TEMPOL normalized nitrotyrosine and NADPH oxidase in O, without affecting MnSOD. Aortic pro-inflammatory cytokines were greater in O (P &lt; 0.05 vs. Y) and normalized by TEMPOL. Short-term treatment of excessive superoxide with TEMPOL ameliorates large elastic artery stiffening and endothelial dysfunction with aging, and this is associated with normalization of arterial collagen I, eNOS, oxidative stress, and inflammation.","container-title":"Aging Cell","DOI":"10.1111/j.1474-9726.2011.00783.x","ISSN":"1474-9726","issue":"2","journalAbbreviation":"Aging Cell","language":"eng","note":"PMID: 22168264\nPMCID: PMC3409251","page":"269-276","source":"PubMed","title":"Superoxide-lowering therapy with TEMPOL reverses arterial dysfunction with aging in mice","volume":"11","author":[{"family":"Fleenor","given":"Bradley S."},{"family":"Seals","given":"Douglas R."},{"family":"Zigler","given":"Melanie L."},{"family":"Sindler","given":"Amy L."}],"issued":{"date-parts":[["2012",4]]}}}],"schema":"https://github.com/citation-style-language/schema/raw/master/csl-citation.json"} </w:instrText>
      </w:r>
      <w:r w:rsidR="00281A47" w:rsidRPr="00C42BF6">
        <w:rPr>
          <w:rFonts w:ascii="Arial" w:eastAsia="Arial" w:hAnsi="Arial" w:cs="Arial"/>
          <w:color w:val="000000"/>
          <w:sz w:val="24"/>
          <w:szCs w:val="24"/>
        </w:rPr>
        <w:fldChar w:fldCharType="separate"/>
      </w:r>
      <w:r w:rsidR="00F80CF1" w:rsidRPr="00F80CF1">
        <w:rPr>
          <w:rFonts w:ascii="Arial" w:hAnsi="Arial" w:cs="Arial"/>
          <w:color w:val="000000"/>
          <w:sz w:val="24"/>
          <w:vertAlign w:val="superscript"/>
        </w:rPr>
        <w:t>14–16</w:t>
      </w:r>
      <w:r w:rsidR="00281A47"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w:t>
      </w:r>
    </w:p>
    <w:p w14:paraId="2ED2BB83" w14:textId="7A9E1835"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Endothelium-independent dilation (</w:t>
      </w:r>
      <w:proofErr w:type="gramStart"/>
      <w:r w:rsidRPr="00C42BF6">
        <w:rPr>
          <w:rFonts w:ascii="Arial" w:eastAsia="Arial" w:hAnsi="Arial" w:cs="Arial"/>
          <w:color w:val="000000"/>
          <w:sz w:val="24"/>
          <w:szCs w:val="24"/>
        </w:rPr>
        <w:t>EID;</w:t>
      </w:r>
      <w:proofErr w:type="gramEnd"/>
      <w:r w:rsidRPr="00C42BF6">
        <w:rPr>
          <w:rFonts w:ascii="Arial" w:eastAsia="Arial" w:hAnsi="Arial" w:cs="Arial"/>
          <w:color w:val="000000"/>
          <w:sz w:val="24"/>
          <w:szCs w:val="24"/>
        </w:rPr>
        <w:t xml:space="preserve"> i.e., smooth muscle sensitivity to NO) was assessed to increasing doses of the NO donor sodium nitroprusside (SNP; 10</w:t>
      </w:r>
      <w:r w:rsidRPr="00C42BF6">
        <w:rPr>
          <w:rFonts w:ascii="Arial" w:eastAsia="Arial" w:hAnsi="Arial" w:cs="Arial"/>
          <w:color w:val="000000"/>
          <w:sz w:val="24"/>
          <w:szCs w:val="24"/>
          <w:vertAlign w:val="superscript"/>
        </w:rPr>
        <w:t>-10</w:t>
      </w:r>
      <w:r w:rsidRPr="00C42BF6">
        <w:rPr>
          <w:rFonts w:ascii="Arial" w:eastAsia="Arial" w:hAnsi="Arial" w:cs="Arial"/>
          <w:color w:val="000000"/>
          <w:sz w:val="24"/>
          <w:szCs w:val="24"/>
        </w:rPr>
        <w:t>-10</w:t>
      </w:r>
      <w:r w:rsidRPr="00C42BF6">
        <w:rPr>
          <w:rFonts w:ascii="Arial" w:eastAsia="Arial" w:hAnsi="Arial" w:cs="Arial"/>
          <w:color w:val="000000"/>
          <w:sz w:val="24"/>
          <w:szCs w:val="24"/>
          <w:vertAlign w:val="superscript"/>
        </w:rPr>
        <w:t>-4</w:t>
      </w:r>
      <w:r w:rsidRPr="00C42BF6">
        <w:rPr>
          <w:rFonts w:ascii="Arial" w:eastAsia="Arial" w:hAnsi="Arial" w:cs="Arial"/>
          <w:color w:val="000000"/>
          <w:sz w:val="24"/>
          <w:szCs w:val="24"/>
        </w:rPr>
        <w:t xml:space="preserve"> mol/L; Sigma-Aldrich Corp.) for 2 minutes per dose. Peak EDD or EID were determined as the highest luminal diameter obtained at any dose. Following dose-response experiments, the vessels were incubated in Ca</w:t>
      </w:r>
      <w:r w:rsidRPr="00C42BF6">
        <w:rPr>
          <w:rFonts w:ascii="Arial" w:eastAsia="Arial" w:hAnsi="Arial" w:cs="Arial"/>
          <w:color w:val="000000"/>
          <w:sz w:val="24"/>
          <w:szCs w:val="24"/>
          <w:vertAlign w:val="superscript"/>
        </w:rPr>
        <w:t>2+</w:t>
      </w:r>
      <w:r w:rsidRPr="00C42BF6">
        <w:rPr>
          <w:rFonts w:ascii="Arial" w:eastAsia="Arial" w:hAnsi="Arial" w:cs="Arial"/>
          <w:color w:val="000000"/>
          <w:sz w:val="24"/>
          <w:szCs w:val="24"/>
        </w:rPr>
        <w:t>-free PSS to obtain a maximal vessel diameter. All data are reported as a percent of the maximal vessel diameter</w:t>
      </w:r>
      <w:r w:rsidR="00281A47" w:rsidRPr="00C42BF6">
        <w:rPr>
          <w:rFonts w:ascii="Arial" w:eastAsia="Arial" w:hAnsi="Arial" w:cs="Arial"/>
          <w:color w:val="000000"/>
          <w:sz w:val="24"/>
          <w:szCs w:val="24"/>
        </w:rPr>
        <w:fldChar w:fldCharType="begin"/>
      </w:r>
      <w:r w:rsidR="00F80CF1">
        <w:rPr>
          <w:rFonts w:ascii="Arial" w:eastAsia="Arial" w:hAnsi="Arial" w:cs="Arial"/>
          <w:color w:val="000000"/>
          <w:sz w:val="24"/>
          <w:szCs w:val="24"/>
        </w:rPr>
        <w:instrText xml:space="preserve"> ADDIN ZOTERO_ITEM CSL_CITATION {"citationID":"qeSZZfkL","properties":{"formattedCitation":"\\super 14\\uc0\\u8211{}16\\nosupersub{}","plainCitation":"14–16","noteIndex":0},"citationItems":[{"id":1765,"uris":["http://zotero.org/users/local/6BakpO76/items/V86396Y8"],"itemData":{"id":1765,"type":"article-journal","abstract":"Vascular dysfunction: develops progressively with ageing; increases the risk of cardiovascular diseases (CVD); and is characterized by endothelial dysfunction and arterial stiffening, which are primarily mediated by superoxide-driven oxidative stress and consequently reduced nitric oxide (NO) bioavailability and arterial structural changes. Interventions initiated before vascular dysfunction manifests may have more promise for reducing CVD risk than interventions targeting established dysfunction. Gut microbiome-derived trimethylamine N-oxide (TMAO) induces vascular dysfunction, is associated with higher CV risk, and can be suppressed by 3,3-dimethyl-1-butanol (DMB). We investigated whether DMB supplementation could prevent age-related vascular dysfunction in C57BL/6N mice when initiated prior to development of dysfunction. Mice received drinking water with 1% DMB or normal drinking water (control) from midlife (18 months) until being studied at 21, 24 or 27 months of age, and were compared to young adult (5 month) mice. Endothelial function [carotid artery endothelium-dependent dilatation (EDD) to acetylcholine; pressure myography] progressively declined with age in control mice, which was fully prevented by DMB via higher NO-mediated EDD and lower superoxide-related suppression of EDD (normalization of EDD with the superoxide dismutase mimetic TEMPOL). In vivo aortic stiffness (pulse wave velocity) increased progressively with age in controls, but DMB attenuated stiffening by </w:instrText>
      </w:r>
      <w:r w:rsidR="00F80CF1">
        <w:rPr>
          <w:rFonts w:ascii="Cambria Math" w:eastAsia="Arial" w:hAnsi="Cambria Math" w:cs="Cambria Math"/>
          <w:color w:val="000000"/>
          <w:sz w:val="24"/>
          <w:szCs w:val="24"/>
        </w:rPr>
        <w:instrText>∼</w:instrText>
      </w:r>
      <w:r w:rsidR="00F80CF1">
        <w:rPr>
          <w:rFonts w:ascii="Arial" w:eastAsia="Arial" w:hAnsi="Arial" w:cs="Arial"/>
          <w:color w:val="000000"/>
          <w:sz w:val="24"/>
          <w:szCs w:val="24"/>
        </w:rPr>
        <w:instrText xml:space="preserve"> 70%, probably due to preservation of endothelial function, as DMB did not affect aortic intrinsic mechanical (structural) stiffness (stress-strain testing) nor adventitial abundance of the arterial structural protein collagen. Our findings indicate that long-term DMB supplementation prevents/attenuates age-related vascular dysfunction, and therefore has potential for translation to humans for reducing CV risk with ageing. KEY POINTS: Vascular dysfunction, characterized by endothelial dysfunction and arterial stiffening, develops progressively with ageing and increases the risk of cardiovascular diseases (CVD). Interventions aimed at preventing the development of CV risk factors have more potential for preventing CVD relative to those aimed at reversing established dysfunction. The gut microbiome-derived metabolite trimethylamine N-oxide (TMAO) induces vascular dysfunction, is associated with higher CV risk and can be suppressed by supplementation with 3,3-dimethyl-1-butanol (DMB). In mice, DMB prevented the development of endothelial dysfunction and delayed and attenuated in vivo arterial stiffening with ageing when supplementation was initiated in midlife, prior to the development of dysfunction. DMB supplementation or other TMAO-suppressing interventions have potential for translation to humans for reducing CV risk with ageing.","container-title":"The Journal of Physiology","DOI":"10.1113/JP283581","ISSN":"1469-7793","issue":"21","journalAbbreviation":"J Physiol","language":"eng","note":"PMID: 36111692","page":"4633-4651","source":"PubMed","title":"Initiation of 3,3-dimethyl-1-butanol at midlife prevents endothelial dysfunction and attenuates in vivo aortic stiffening with ageing in mice","volume":"600","author":[{"family":"Casso","given":"Abigail G."},{"family":"VanDongen","given":"Nicholas S."},{"family":"Gioscia-Ryan","given":"Rachel A."},{"family":"Clayton","given":"Zachary S."},{"family":"Greenberg","given":"Nathan T."},{"family":"Ziemba","given":"Brian P."},{"family":"Hutton","given":"David A."},{"family":"Neilson","given":"Andrew P."},{"family":"Davy","given":"Kevin P."},{"family":"Seals","given":"Douglas R."},{"family":"Brunt","given":"Vienna E."}],"issued":{"date-parts":[["2022",11]]}}},{"id":434,"uris":["http://zotero.org/users/local/6BakpO76/items/ZNT7HR6B"],"itemData":{"id":434,"type":"article-journal","abstract":"Age-related vascular endothelial dysfunction is a major antecedent to cardiovascular diseases. We investigated whether increased circulating levels of the gut microbiome-generated metabolite trimethylamine-N-oxide induces endothelial dysfunction with aging. In healthy humans, plasma trimethylamine-N-oxide was higher in middle-aged/older (64±7 years) versus young (22±2 years) adults (6.5±0.7 versus 1.6±0.2 µmol/L) and inversely related to brachial artery flow-mediated dilation (r\n                        2\n                    =0.29, P&lt;0.00001). In young mice, 6 months of dietary supplementation with trimethylamine-N-oxide induced an aging-like impairment in carotid artery endothelium-dependent dilation to acetylcholine versus control feeding (peak dilation: 79±3% versus 95±3%, P&lt;0.01). This impairment was accompanied by increased vascular nitrotyrosine, a marker of oxidative stress, and reversed by the superoxide dismutase mimetic 4-hydroxy-2,2,6,6-tetramethylpiperidin-1-oxyl. Trimethylamine-N-oxide supplementation also reduced activation of endothelial nitric oxide synthase and impaired nitric oxide-mediated dilation, as assessed with the nitric oxide synthase inhibitor L-NAME (NG-nitro-L-arginine methyl ester). Acute incubation of carotid arteries with trimethylamine-N-oxide recapitulated these events. Next, treatment with 3,3-dimethyl-1-butanol for 8 to 10 weeks to suppress trimethylamine-N-oxide selectively improved endothelium-dependent dilation in old mice to young levels (peak: 90±2%) by normalizing vascular superoxide production, restoring nitric oxide-mediated dilation, and ameliorating superoxide-related suppression of endothelium-dependent dilation. Lastly, among healthy middle-aged/older adults, higher plasma trimethylamine-N-oxide was associated with greater nitrotyrosine abundance in biopsied endothelial cells, and infusion of the antioxidant ascorbic acid restored flow-mediated dilation to young levels, indicating tonic oxidative stress-related suppression of endothelial function with higher circulating trimethylamine-N-oxide. Using multiple experimental approaches in mice and humans, we demonstrate a clear role of trimethylamine-N-oxide in promoting age-related endothelial dysfunction via oxidative stress, which may have implications for prevention of cardiovascular diseases.","container-title":"Hypertension (Dallas, Tex.: 1979)","DOI":"10.1161/HYPERTENSIONAHA.120.14759","ISSN":"1524-4563","issue":"1","journalAbbreviation":"Hypertension","language":"eng","note":"PMID: 32520619\nPMCID: PMC7295014","page":"101-112","source":"PubMed","title":"Trimethylamine-N-Oxide Promotes Age-Related Vascular Oxidative Stress and Endothelial Dysfunction in Mice and Healthy Humans","volume":"76","author":[{"family":"Brunt","given":"Vienna E."},{"family":"Gioscia-Ryan","given":"Rachel A."},{"family":"Casso","given":"Abigail G."},{"family":"VanDongen","given":"Nicholas S."},{"family":"Ziemba","given":"Brian P."},{"family":"Sapinsley","given":"Zachary J."},{"family":"Richey","given":"James J."},{"family":"Zigler","given":"Melanie C."},{"family":"Neilson","given":"Andrew P."},{"family":"Davy","given":"Kevin P."},{"family":"Seals","given":"Douglas R."}],"issued":{"date-parts":[["2020",7]]}}},{"id":1312,"uris":["http://zotero.org/users/local/6BakpO76/items/ETDJB5QG"],"itemData":{"id":1312,"type":"article-journal","abstract":"To test the hypothesis that the antioxidant enzyme superoxide dismutase (SOD) mimetic TEMPOL improves arterial aging, young (Y, 4-6 months) and old (O, 26-28 months) male C57BL6 mice received regular or TEMPOL-supplemented (1mM) drinking water for 3 weeks (n = 8 per group). Aortic superoxide was 65% greater in O (P &lt; 0.05 vs. Y), which was normalized by TEMPOL. O had large elastic artery stiffening, as indicated by greater aortic pulse wave velocity (aPWV, 508 ± 22 vs. 418 ± 22 AU), which was associated with increased adventitial collagen I expression (P &lt; 0.05 vs. Y). TEMPOL reversed the age-associated increases in aPWV (434 ± 21 AU) and collagen in vivo, and SOD reversed the increases in collagen I in adventitial fibroblasts from older rats in vitro. Isolated carotid arteries of O had impaired endothelial function as indicated by reduced acetylcholine-stimulated endothelium-dependent dilation (EDD) (75.6 ± 3.2 vs. 94.5 ± 2.0%) mediated by reduced nitric oxide (NO) bioavailability (L-NAME) associated with decreased endothelial NO synthase (eNOS) expression (P &lt; 0.05 vs. Y). TEMPOL restored EDD (94.5 ± 1.4%), NO bioavailability and eNOS in O. Nitrotyrosine and expression of NADPH oxidase were ~100-200% greater, and MnSOD was ~75% lower in O (P &lt; 0.05 vs. Y). TEMPOL normalized nitrotyrosine and NADPH oxidase in O, without affecting MnSOD. Aortic pro-inflammatory cytokines were greater in O (P &lt; 0.05 vs. Y) and normalized by TEMPOL. Short-term treatment of excessive superoxide with TEMPOL ameliorates large elastic artery stiffening and endothelial dysfunction with aging, and this is associated with normalization of arterial collagen I, eNOS, oxidative stress, and inflammation.","container-title":"Aging Cell","DOI":"10.1111/j.1474-9726.2011.00783.x","ISSN":"1474-9726","issue":"2","journalAbbreviation":"Aging Cell","language":"eng","note":"PMID: 22168264\nPMCID: PMC3409251","page":"269-276","source":"PubMed","title":"Superoxide-lowering therapy with TEMPOL reverses arterial dysfunction with aging in mice","volume":"11","author":[{"family":"Fleenor","given":"Bradley S."},{"family":"Seals","given":"Douglas R."},{"family":"Zigler","given":"Melanie L."},{"family":"Sindler","given":"Amy L."}],"issued":{"date-parts":[["2012",4]]}}}],"schema":"https://github.com/citation-style-language/schema/raw/master/csl-citation.json"} </w:instrText>
      </w:r>
      <w:r w:rsidR="00281A47" w:rsidRPr="00C42BF6">
        <w:rPr>
          <w:rFonts w:ascii="Arial" w:eastAsia="Arial" w:hAnsi="Arial" w:cs="Arial"/>
          <w:color w:val="000000"/>
          <w:sz w:val="24"/>
          <w:szCs w:val="24"/>
        </w:rPr>
        <w:fldChar w:fldCharType="separate"/>
      </w:r>
      <w:r w:rsidR="00F80CF1" w:rsidRPr="00F80CF1">
        <w:rPr>
          <w:rFonts w:ascii="Arial" w:hAnsi="Arial" w:cs="Arial"/>
          <w:color w:val="000000"/>
          <w:sz w:val="24"/>
          <w:vertAlign w:val="superscript"/>
        </w:rPr>
        <w:t>14–16</w:t>
      </w:r>
      <w:r w:rsidR="00281A47"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w:t>
      </w:r>
    </w:p>
    <w:p w14:paraId="657052E6" w14:textId="4A7D093C" w:rsidR="277E52C9" w:rsidRPr="00C42BF6" w:rsidRDefault="277E52C9" w:rsidP="00FF30AE">
      <w:pPr>
        <w:spacing w:line="480" w:lineRule="auto"/>
        <w:ind w:firstLine="20"/>
        <w:rPr>
          <w:rFonts w:ascii="Arial" w:hAnsi="Arial" w:cs="Arial"/>
          <w:b/>
          <w:bCs/>
          <w:color w:val="000000"/>
          <w:sz w:val="24"/>
          <w:szCs w:val="24"/>
        </w:rPr>
      </w:pPr>
      <w:r w:rsidRPr="00C42BF6">
        <w:rPr>
          <w:rFonts w:ascii="Arial" w:eastAsia="Arial" w:hAnsi="Arial" w:cs="Arial"/>
          <w:b/>
          <w:bCs/>
          <w:i/>
          <w:iCs/>
          <w:color w:val="000000"/>
          <w:sz w:val="24"/>
          <w:szCs w:val="24"/>
        </w:rPr>
        <w:t xml:space="preserve">EDD with knockdown of </w:t>
      </w:r>
      <w:r w:rsidR="002B76AA" w:rsidRPr="00C42BF6">
        <w:rPr>
          <w:rFonts w:ascii="Arial" w:eastAsia="Arial" w:hAnsi="Arial" w:cs="Arial"/>
          <w:b/>
          <w:bCs/>
          <w:i/>
          <w:iCs/>
          <w:color w:val="000000"/>
          <w:sz w:val="24"/>
          <w:szCs w:val="24"/>
        </w:rPr>
        <w:t>E</w:t>
      </w:r>
      <w:r w:rsidR="00C635F7">
        <w:rPr>
          <w:rFonts w:ascii="Arial" w:eastAsia="Arial" w:hAnsi="Arial" w:cs="Arial"/>
          <w:b/>
          <w:bCs/>
          <w:i/>
          <w:iCs/>
          <w:color w:val="000000"/>
          <w:sz w:val="24"/>
          <w:szCs w:val="24"/>
        </w:rPr>
        <w:t>gr</w:t>
      </w:r>
      <w:r w:rsidR="002B76AA" w:rsidRPr="00C42BF6">
        <w:rPr>
          <w:rFonts w:ascii="Arial" w:eastAsia="Arial" w:hAnsi="Arial" w:cs="Arial"/>
          <w:b/>
          <w:bCs/>
          <w:i/>
          <w:iCs/>
          <w:color w:val="000000"/>
          <w:sz w:val="24"/>
          <w:szCs w:val="24"/>
        </w:rPr>
        <w:t>-1</w:t>
      </w:r>
    </w:p>
    <w:p w14:paraId="2129383E" w14:textId="43A112E7" w:rsidR="005F05AD" w:rsidRPr="00C42BF6" w:rsidRDefault="277E52C9" w:rsidP="00FF30AE">
      <w:pPr>
        <w:spacing w:line="480" w:lineRule="auto"/>
        <w:ind w:firstLine="720"/>
        <w:rPr>
          <w:rFonts w:ascii="Arial" w:eastAsia="Arial" w:hAnsi="Arial" w:cs="Arial"/>
          <w:color w:val="000000"/>
          <w:sz w:val="24"/>
          <w:szCs w:val="24"/>
        </w:rPr>
      </w:pPr>
      <w:r w:rsidRPr="00C42BF6">
        <w:rPr>
          <w:rFonts w:ascii="Arial" w:eastAsia="Arial" w:hAnsi="Arial" w:cs="Arial"/>
          <w:color w:val="000000"/>
          <w:sz w:val="24"/>
          <w:szCs w:val="24"/>
        </w:rPr>
        <w:t>Carotid arteries were excised at time of euthanasia, cleaned of surrounding tissue, and cannulated on glass pipette tips in a culture pressure myograph system (204</w:t>
      </w:r>
      <w:r w:rsidR="00664A67" w:rsidRPr="00C42BF6">
        <w:rPr>
          <w:rFonts w:ascii="Arial" w:eastAsia="Arial" w:hAnsi="Arial" w:cs="Arial"/>
          <w:color w:val="000000"/>
          <w:sz w:val="24"/>
          <w:szCs w:val="24"/>
        </w:rPr>
        <w:t>CM</w:t>
      </w:r>
      <w:r w:rsidRPr="00C42BF6">
        <w:rPr>
          <w:rFonts w:ascii="Arial" w:eastAsia="Arial" w:hAnsi="Arial" w:cs="Arial"/>
          <w:color w:val="000000"/>
          <w:sz w:val="24"/>
          <w:szCs w:val="24"/>
        </w:rPr>
        <w:t>; DMT, Inc.; 50-55mmHg) containing modified Krebs buffer (123</w:t>
      </w:r>
      <w:r w:rsidR="00AB0D4C"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mM NaCl, 4.7</w:t>
      </w:r>
      <w:r w:rsidR="00AB0D4C"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 xml:space="preserve">mM </w:t>
      </w:r>
      <w:proofErr w:type="spellStart"/>
      <w:r w:rsidRPr="00C42BF6">
        <w:rPr>
          <w:rFonts w:ascii="Arial" w:eastAsia="Arial" w:hAnsi="Arial" w:cs="Arial"/>
          <w:color w:val="000000"/>
          <w:sz w:val="24"/>
          <w:szCs w:val="24"/>
        </w:rPr>
        <w:t>KCl</w:t>
      </w:r>
      <w:proofErr w:type="spellEnd"/>
      <w:r w:rsidRPr="00C42BF6">
        <w:rPr>
          <w:rFonts w:ascii="Arial" w:eastAsia="Arial" w:hAnsi="Arial" w:cs="Arial"/>
          <w:color w:val="000000"/>
          <w:sz w:val="24"/>
          <w:szCs w:val="24"/>
        </w:rPr>
        <w:t>, 1.2</w:t>
      </w:r>
      <w:r w:rsidR="00AB0D4C"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mM CaCl2, 7.5</w:t>
      </w:r>
      <w:r w:rsidR="00AB0D4C"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mM MgSO4, 16</w:t>
      </w:r>
      <w:r w:rsidR="00AB0D4C"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mM NaHCO3, 0.026</w:t>
      </w:r>
      <w:r w:rsidR="00AB0D4C"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mM EDTA, 1.18</w:t>
      </w:r>
      <w:r w:rsidR="00AB0D4C"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mM KH2PO4 and 5.0</w:t>
      </w:r>
      <w:r w:rsidR="00AB0D4C"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mM glucose filtered through a ≤0.45</w:t>
      </w:r>
      <w:r w:rsidR="00AB0D4C"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µm sterile membrane and stored at 4°C) adjusted to pH 7.2-7.25 (resulting in a bath pH ~7.4 during incubation), bubbled with a gas mixture containing 5% CO</w:t>
      </w:r>
      <w:r w:rsidRPr="00C42BF6">
        <w:rPr>
          <w:rFonts w:ascii="Arial" w:eastAsia="Arial" w:hAnsi="Arial" w:cs="Arial"/>
          <w:color w:val="000000"/>
          <w:sz w:val="24"/>
          <w:szCs w:val="24"/>
          <w:vertAlign w:val="subscript"/>
        </w:rPr>
        <w:t>2</w:t>
      </w:r>
      <w:r w:rsidRPr="00C42BF6">
        <w:rPr>
          <w:rFonts w:ascii="Arial" w:eastAsia="Arial" w:hAnsi="Arial" w:cs="Arial"/>
          <w:color w:val="000000"/>
          <w:sz w:val="24"/>
          <w:szCs w:val="24"/>
        </w:rPr>
        <w:t>, 21% O</w:t>
      </w:r>
      <w:r w:rsidRPr="00C42BF6">
        <w:rPr>
          <w:rFonts w:ascii="Arial" w:eastAsia="Arial" w:hAnsi="Arial" w:cs="Arial"/>
          <w:color w:val="000000"/>
          <w:sz w:val="24"/>
          <w:szCs w:val="24"/>
          <w:vertAlign w:val="subscript"/>
        </w:rPr>
        <w:t>2</w:t>
      </w:r>
      <w:r w:rsidRPr="00C42BF6">
        <w:rPr>
          <w:rFonts w:ascii="Arial" w:eastAsia="Arial" w:hAnsi="Arial" w:cs="Arial"/>
          <w:color w:val="000000"/>
          <w:sz w:val="24"/>
          <w:szCs w:val="24"/>
        </w:rPr>
        <w:t>, and 74% N</w:t>
      </w:r>
      <w:r w:rsidRPr="00C42BF6">
        <w:rPr>
          <w:rFonts w:ascii="Arial" w:eastAsia="Arial" w:hAnsi="Arial" w:cs="Arial"/>
          <w:color w:val="000000"/>
          <w:sz w:val="24"/>
          <w:szCs w:val="24"/>
          <w:vertAlign w:val="subscript"/>
        </w:rPr>
        <w:t>2</w:t>
      </w:r>
      <w:r w:rsidRPr="00C42BF6">
        <w:rPr>
          <w:rFonts w:ascii="Arial" w:eastAsia="Arial" w:hAnsi="Arial" w:cs="Arial"/>
          <w:color w:val="000000"/>
          <w:sz w:val="24"/>
          <w:szCs w:val="24"/>
        </w:rPr>
        <w:t xml:space="preserve"> (Airgas, LLC), and kept at 37°C. Similar to previous approaches</w:t>
      </w:r>
      <w:r w:rsidR="00281A47" w:rsidRPr="00C42BF6">
        <w:rPr>
          <w:rFonts w:ascii="Arial" w:eastAsia="Arial" w:hAnsi="Arial" w:cs="Arial"/>
          <w:color w:val="000000"/>
          <w:sz w:val="24"/>
          <w:szCs w:val="24"/>
        </w:rPr>
        <w:fldChar w:fldCharType="begin"/>
      </w:r>
      <w:r w:rsidR="00F80CF1">
        <w:rPr>
          <w:rFonts w:ascii="Arial" w:eastAsia="Arial" w:hAnsi="Arial" w:cs="Arial"/>
          <w:color w:val="000000"/>
          <w:sz w:val="24"/>
          <w:szCs w:val="24"/>
        </w:rPr>
        <w:instrText xml:space="preserve"> ADDIN ZOTERO_ITEM CSL_CITATION {"citationID":"bMT4nEYu","properties":{"formattedCitation":"\\super 17,18\\nosupersub{}","plainCitation":"17,18","noteIndex":0},"citationItems":[{"id":2792,"uris":["http://zotero.org/users/local/6BakpO76/items/KX6Y5YJ2"],"itemData":{"id":2792,"type":"article-journal","abstract":"We investigated the role of microRNAs (miRNA) in endothelial dysfunction in the setting of cardiometabolic disorders represented by type 2 diabetes mellitus (T2DM). miR-29 was dysregulated in resistance arterioles obtained by biopsy in T2DM patients. Intraluminal delivery of miR-29a-3p or miR-29b-3p mimics restored normal endothelium-dependent vasodilation (EDVD) in T2DM arterioles that otherwise exhibited impaired EDVD Intraluminal delivery of anti-miR-29b-3p in arterioles from non-DM human subjects or rats or targeted mutation of Mir29b-1/a gene in rats led to impaired EDVD and exacerbation of hypertension in the rats. miR-29b-3p mimic increased, while anti-miR-29b-3p or Mir29b-1/a gene mutation decreased, nitric oxide levels in arterioles. The mutation of Mir29b-1/a gene led to preferential differential expression of genes related to nitric oxide including Lypla1. Lypla1 was a direct target of miR-29 and could abrogate the effect of miR-29 in promoting nitric oxide production. Treatment with Lypla1 siRNA improved EDVD in arterioles obtained from T2DM patients or Mir29b-1/a mutant rats or treated with anti-miR-29b-3p. These findings indicate miR-29 is required for normal endothelial function in humans and animal models and has therapeutic potential for cardiometabolic disorders.","container-title":"EMBO molecular medicine","DOI":"10.15252/emmm.201708046","ISSN":"1757-4684","issue":"3","journalAbbreviation":"EMBO Mol Med","language":"eng","note":"PMID: 29374012\nPMCID: PMC5840545","page":"e8046","source":"PubMed","title":"miR-29 contributes to normal endothelial function and can restore it in cardiometabolic disorders","volume":"10","author":[{"family":"Widlansky","given":"Michael E."},{"family":"Jensen","given":"David M."},{"family":"Wang","given":"Jingli"},{"family":"Liu","given":"Yong"},{"family":"Geurts","given":"Aron M."},{"family":"Kriegel","given":"Alison J."},{"family":"Liu","given":"Pengyuan"},{"family":"Ying","given":"Rong"},{"family":"Zhang","given":"Guangyuan"},{"family":"Casati","given":"Marc"},{"family":"Chu","given":"Chen"},{"family":"Malik","given":"Mobin"},{"family":"Branum","given":"Amberly"},{"family":"Tanner","given":"Michael J."},{"family":"Tyagi","given":"Sudhi"},{"family":"Usa","given":"Kristie"},{"family":"Liang","given":"Mingyu"}],"issued":{"date-parts":[["2018",3]]}}},{"id":2789,"uris":["http://zotero.org/users/local/6BakpO76/items/C7R85PK7"],"itemData":{"id":2789,"type":"article-journal","abstract":"Intensive glycemic regulation has resulted in an increased incidence of hypoglycemia. Hypoglycemic burden correlates with adverse cardiovascular complications and contributes acutely and chronically to endothelial dysfunction. Prior data indicate that mitochondrial dysfunction contributes to hypoglycemia-induced endothelial dysfunction, but the mechanisms behind this linkage remain unknown. We attempt to determine whether clinically relevant low-glucose (LG) exposures acutely induce endothelial dysfunction through activation of the mitochondrial fission process. Characterization of mitochondrial morphology was carried out in cultured endothelial cells by using confocal microscopy. Isolated human arterioles were used to explore the effect LG-induced mitochondrial fission has on the formation of detrimental reactive oxygen species (ROS), bioavailability of nitric oxide (NO), and endothelial-dependent vascular relaxation. Fluorescence microscopy was employed to visualize changes in mitochondrial ROS and NO levels and videomicroscopy applied to measure vasodilation response. Pharmacological disruption of the profission protein Drp1 with Mdivi-1 during LG exposure reduced mitochondrial fragmentation among vascular endothelial cells (LG: 0.469; LG+Mdivi-1: 0.276; P = 0.003), prevented formation of vascular ROS (LG: 2.036; LG+Mdivi-1: 1.774; P = 0.005), increased the presence of NO (LG: 1.352; LG+Mdivi-1: 1.502; P = 0.048), and improved vascular dilation response to acetylcholine (LG: 31.6%; LG+Mdivi-1; 78.5% at maximum dose; P &lt; 0.001). Additionally, decreased expression of Drp1 via siRNA knockdown during LG conditions also improved vascular relaxation. Exposure to LG imparts endothelial dysfunction coupled with altered mitochondrial phenotypes among isolated human arterioles. Disruption of Drp1 and subsequent mitochondrial fragmentation events prevents impaired vascular dilation, restores mitochondrial phenotype, and implicates mitochondrial fission as a primary mediator of LG-induced endothelial dysfunction.NEW &amp; NOTEWORTHY Acute low-glucose exposure induces mitochondrial fragmentation in endothelial cells via Drp1 and is associated with impaired endothelial function in human arterioles. Targeting of Drp1 prevents fragmentation, improves vasofunction, and may provide a therapeutic target for improving cardiovascular complications among diabetics.Listen to this article's corresponding podcast @ http://ajpheart.podbean.com/e/mitochondrial-dynamics-impact-endothelial-function/.","container-title":"American Journal of Physiology. Heart and Circulatory Physiology","DOI":"10.1152/ajpheart.00499.2016","ISSN":"1522-1539","issue":"3","journalAbbreviation":"Am J Physiol Heart Circ Physiol","language":"eng","note":"PMID: 27923790\nPMCID: PMC5402007","page":"H515-H527","source":"PubMed","title":"Dynamin-related protein 1 mediates low glucose-induced endothelial dysfunction in human arterioles","volume":"312","author":[{"family":"Tanner","given":"Michael J."},{"family":"Wang","given":"Jingli"},{"family":"Ying","given":"Rong"},{"family":"Suboc","given":"Tisha B."},{"family":"Malik","given":"Mobin"},{"family":"Couillard","given":"Allison"},{"family":"Branum","given":"Amberly"},{"family":"Puppala","given":"Venkata"},{"family":"Widlansky","given":"Michael E."}],"issued":{"date-parts":[["2017",3,1]]}}}],"schema":"https://github.com/citation-style-language/schema/raw/master/csl-citation.json"} </w:instrText>
      </w:r>
      <w:r w:rsidR="00281A47" w:rsidRPr="00C42BF6">
        <w:rPr>
          <w:rFonts w:ascii="Arial" w:eastAsia="Arial" w:hAnsi="Arial" w:cs="Arial"/>
          <w:color w:val="000000"/>
          <w:sz w:val="24"/>
          <w:szCs w:val="24"/>
        </w:rPr>
        <w:fldChar w:fldCharType="separate"/>
      </w:r>
      <w:r w:rsidR="00F80CF1" w:rsidRPr="00F80CF1">
        <w:rPr>
          <w:rFonts w:ascii="Arial" w:hAnsi="Arial" w:cs="Arial"/>
          <w:color w:val="000000"/>
          <w:sz w:val="24"/>
          <w:vertAlign w:val="superscript"/>
        </w:rPr>
        <w:t>17,18</w:t>
      </w:r>
      <w:r w:rsidR="00281A47"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arteries were transfected </w:t>
      </w:r>
      <w:proofErr w:type="spellStart"/>
      <w:r w:rsidRPr="00C42BF6">
        <w:rPr>
          <w:rFonts w:ascii="Arial" w:eastAsia="Arial" w:hAnsi="Arial" w:cs="Arial"/>
          <w:color w:val="000000"/>
          <w:sz w:val="24"/>
          <w:szCs w:val="24"/>
        </w:rPr>
        <w:t>intraluminally</w:t>
      </w:r>
      <w:proofErr w:type="spellEnd"/>
      <w:r w:rsidRPr="00C42BF6">
        <w:rPr>
          <w:rFonts w:ascii="Arial" w:eastAsia="Arial" w:hAnsi="Arial" w:cs="Arial"/>
          <w:color w:val="000000"/>
          <w:sz w:val="24"/>
          <w:szCs w:val="24"/>
        </w:rPr>
        <w:t xml:space="preserve"> using an automated syringe driver that continuously perfused the arteries at a flow rate of 1.2 </w:t>
      </w:r>
      <w:proofErr w:type="spellStart"/>
      <w:r w:rsidRPr="00C42BF6">
        <w:rPr>
          <w:rFonts w:ascii="Arial" w:eastAsia="Arial" w:hAnsi="Arial" w:cs="Arial"/>
          <w:color w:val="000000"/>
          <w:sz w:val="24"/>
          <w:szCs w:val="24"/>
        </w:rPr>
        <w:t>μL</w:t>
      </w:r>
      <w:proofErr w:type="spellEnd"/>
      <w:r w:rsidRPr="00C42BF6">
        <w:rPr>
          <w:rFonts w:ascii="Arial" w:eastAsia="Arial" w:hAnsi="Arial" w:cs="Arial"/>
          <w:color w:val="000000"/>
          <w:sz w:val="24"/>
          <w:szCs w:val="24"/>
        </w:rPr>
        <w:t xml:space="preserve">/min for 4 hours containing one of the following solutions. </w:t>
      </w:r>
    </w:p>
    <w:p w14:paraId="455F7193" w14:textId="5A64289B" w:rsidR="277E52C9" w:rsidRPr="00C42BF6" w:rsidRDefault="277E52C9" w:rsidP="005F05AD">
      <w:pPr>
        <w:spacing w:line="480" w:lineRule="auto"/>
        <w:ind w:firstLine="720"/>
        <w:rPr>
          <w:rFonts w:ascii="Arial" w:hAnsi="Arial" w:cs="Arial"/>
          <w:color w:val="000000"/>
          <w:sz w:val="24"/>
          <w:szCs w:val="24"/>
        </w:rPr>
      </w:pPr>
      <w:r w:rsidRPr="00C42BF6">
        <w:rPr>
          <w:rFonts w:ascii="Arial" w:hAnsi="Arial" w:cs="Arial"/>
          <w:color w:val="000000"/>
          <w:sz w:val="24"/>
          <w:szCs w:val="24"/>
        </w:rPr>
        <w:t>For knockdown of E</w:t>
      </w:r>
      <w:r w:rsidR="00C635F7">
        <w:rPr>
          <w:rFonts w:ascii="Arial" w:hAnsi="Arial" w:cs="Arial"/>
          <w:color w:val="000000"/>
          <w:sz w:val="24"/>
          <w:szCs w:val="24"/>
        </w:rPr>
        <w:t>gr</w:t>
      </w:r>
      <w:r w:rsidRPr="00C42BF6">
        <w:rPr>
          <w:rFonts w:ascii="Arial" w:hAnsi="Arial" w:cs="Arial"/>
          <w:color w:val="000000"/>
          <w:sz w:val="24"/>
          <w:szCs w:val="24"/>
        </w:rPr>
        <w:t xml:space="preserve">-1, </w:t>
      </w:r>
      <w:r w:rsidR="00C311A9" w:rsidRPr="00C42BF6">
        <w:rPr>
          <w:rFonts w:ascii="Arial" w:hAnsi="Arial" w:cs="Arial"/>
          <w:color w:val="000000"/>
          <w:sz w:val="24"/>
          <w:szCs w:val="24"/>
        </w:rPr>
        <w:t>a solution was prepared containing Opti-MEM media (</w:t>
      </w:r>
      <w:proofErr w:type="spellStart"/>
      <w:r w:rsidR="00C311A9" w:rsidRPr="00C42BF6">
        <w:rPr>
          <w:rFonts w:ascii="Arial" w:hAnsi="Arial" w:cs="Arial"/>
          <w:color w:val="000000"/>
          <w:sz w:val="24"/>
          <w:szCs w:val="24"/>
        </w:rPr>
        <w:t>ThermoFisher</w:t>
      </w:r>
      <w:proofErr w:type="spellEnd"/>
      <w:r w:rsidR="00C311A9" w:rsidRPr="00C42BF6">
        <w:rPr>
          <w:rFonts w:ascii="Arial" w:hAnsi="Arial" w:cs="Arial"/>
          <w:color w:val="000000"/>
          <w:sz w:val="24"/>
          <w:szCs w:val="24"/>
        </w:rPr>
        <w:t xml:space="preserve"> Scientific), either E</w:t>
      </w:r>
      <w:r w:rsidR="00C635F7">
        <w:rPr>
          <w:rFonts w:ascii="Arial" w:hAnsi="Arial" w:cs="Arial"/>
          <w:color w:val="000000"/>
          <w:sz w:val="24"/>
          <w:szCs w:val="24"/>
        </w:rPr>
        <w:t>gr</w:t>
      </w:r>
      <w:r w:rsidR="00C311A9" w:rsidRPr="00C42BF6">
        <w:rPr>
          <w:rFonts w:ascii="Arial" w:hAnsi="Arial" w:cs="Arial"/>
          <w:color w:val="000000"/>
          <w:sz w:val="24"/>
          <w:szCs w:val="24"/>
        </w:rPr>
        <w:t>-1 siRNA (</w:t>
      </w:r>
      <w:proofErr w:type="spellStart"/>
      <w:r w:rsidR="00C311A9" w:rsidRPr="00C42BF6">
        <w:rPr>
          <w:rFonts w:ascii="Arial" w:hAnsi="Arial" w:cs="Arial"/>
          <w:color w:val="000000"/>
          <w:sz w:val="24"/>
          <w:szCs w:val="24"/>
        </w:rPr>
        <w:t>ThermoFisher</w:t>
      </w:r>
      <w:proofErr w:type="spellEnd"/>
      <w:r w:rsidR="00C311A9" w:rsidRPr="00C42BF6">
        <w:rPr>
          <w:rFonts w:ascii="Arial" w:hAnsi="Arial" w:cs="Arial"/>
          <w:color w:val="000000"/>
          <w:sz w:val="24"/>
          <w:szCs w:val="24"/>
        </w:rPr>
        <w:t xml:space="preserve"> Scientific, Cat# AM16708) </w:t>
      </w:r>
      <w:r w:rsidR="00C311A9" w:rsidRPr="00C42BF6">
        <w:rPr>
          <w:rFonts w:ascii="Arial" w:hAnsi="Arial" w:cs="Arial"/>
          <w:color w:val="000000"/>
          <w:sz w:val="24"/>
          <w:szCs w:val="24"/>
        </w:rPr>
        <w:lastRenderedPageBreak/>
        <w:t>or the control scrambled oligonucleotide (</w:t>
      </w:r>
      <w:proofErr w:type="spellStart"/>
      <w:r w:rsidR="00C311A9" w:rsidRPr="00C42BF6">
        <w:rPr>
          <w:rFonts w:ascii="Arial" w:hAnsi="Arial" w:cs="Arial"/>
          <w:color w:val="000000"/>
          <w:sz w:val="24"/>
          <w:szCs w:val="24"/>
        </w:rPr>
        <w:t>Silencer</w:t>
      </w:r>
      <w:r w:rsidR="00C311A9" w:rsidRPr="00C42BF6">
        <w:rPr>
          <w:rFonts w:ascii="Arial" w:hAnsi="Arial" w:cs="Arial"/>
          <w:color w:val="000000"/>
          <w:sz w:val="24"/>
          <w:szCs w:val="24"/>
          <w:vertAlign w:val="superscript"/>
        </w:rPr>
        <w:t>TM</w:t>
      </w:r>
      <w:proofErr w:type="spellEnd"/>
      <w:r w:rsidR="00C311A9" w:rsidRPr="00C42BF6">
        <w:rPr>
          <w:rFonts w:ascii="Arial" w:hAnsi="Arial" w:cs="Arial"/>
          <w:color w:val="000000"/>
          <w:sz w:val="24"/>
          <w:szCs w:val="24"/>
        </w:rPr>
        <w:t xml:space="preserve"> Select Negative Control No. 2 siRNA, </w:t>
      </w:r>
      <w:proofErr w:type="spellStart"/>
      <w:r w:rsidR="00C311A9" w:rsidRPr="00C42BF6">
        <w:rPr>
          <w:rFonts w:ascii="Arial" w:hAnsi="Arial" w:cs="Arial"/>
          <w:color w:val="000000"/>
          <w:sz w:val="24"/>
          <w:szCs w:val="24"/>
        </w:rPr>
        <w:t>ThermoFisher</w:t>
      </w:r>
      <w:proofErr w:type="spellEnd"/>
      <w:r w:rsidR="00C311A9" w:rsidRPr="00C42BF6">
        <w:rPr>
          <w:rFonts w:ascii="Arial" w:hAnsi="Arial" w:cs="Arial"/>
          <w:color w:val="000000"/>
          <w:sz w:val="24"/>
          <w:szCs w:val="24"/>
        </w:rPr>
        <w:t xml:space="preserve"> Scientific, Cat # 4390846) were added at a final concentration of 40nM, 1.56 µL/ml of Lipofectamine 3000 (Invitrogen; used according to the manufacturer’s instructions</w:t>
      </w:r>
      <w:r w:rsidR="005F05AD" w:rsidRPr="00C42BF6">
        <w:rPr>
          <w:rFonts w:ascii="Arial" w:hAnsi="Arial" w:cs="Arial"/>
          <w:color w:val="000000"/>
          <w:sz w:val="24"/>
          <w:szCs w:val="24"/>
        </w:rPr>
        <w:t>: Document Part No. 100022234 Publication No. MAN0009872 Rev C.0</w:t>
      </w:r>
      <w:r w:rsidR="00C311A9" w:rsidRPr="00C42BF6">
        <w:rPr>
          <w:rFonts w:ascii="Arial" w:eastAsia="Arial" w:hAnsi="Arial" w:cs="Arial"/>
          <w:color w:val="000000"/>
          <w:sz w:val="24"/>
          <w:szCs w:val="24"/>
        </w:rPr>
        <w:t xml:space="preserve">), and 1% serum obtained from the same mouse. siRNA and the control scrambled oligonucleotide were reconstituted in 5x siRNA buffer according to the manufacturer’s instructions (5X siRNA Buffer, </w:t>
      </w:r>
      <w:proofErr w:type="spellStart"/>
      <w:r w:rsidR="00C311A9" w:rsidRPr="00C42BF6">
        <w:rPr>
          <w:rFonts w:ascii="Arial" w:eastAsia="Arial" w:hAnsi="Arial" w:cs="Arial"/>
          <w:color w:val="000000"/>
          <w:sz w:val="24"/>
          <w:szCs w:val="24"/>
        </w:rPr>
        <w:t>Dharmacon</w:t>
      </w:r>
      <w:proofErr w:type="spellEnd"/>
      <w:r w:rsidR="00C311A9" w:rsidRPr="00C42BF6">
        <w:rPr>
          <w:rFonts w:ascii="Arial" w:eastAsia="Arial" w:hAnsi="Arial" w:cs="Arial"/>
          <w:color w:val="000000"/>
          <w:sz w:val="24"/>
          <w:szCs w:val="24"/>
        </w:rPr>
        <w:t xml:space="preserve"> Reagents, Cat # B-002000-UB-100).</w:t>
      </w:r>
      <w:r w:rsidRPr="00C42BF6">
        <w:rPr>
          <w:rFonts w:ascii="Arial" w:eastAsia="Arial" w:hAnsi="Arial" w:cs="Arial"/>
          <w:color w:val="000000"/>
          <w:sz w:val="24"/>
          <w:szCs w:val="24"/>
        </w:rPr>
        <w:t xml:space="preserve"> </w:t>
      </w:r>
    </w:p>
    <w:p w14:paraId="7994E014" w14:textId="77777777"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Following the 4-hour incubation, the solution was switched to the modified Krebs buffer containing 5% FCS at a flow rate of 0.5</w:t>
      </w:r>
      <w:r w:rsidR="00AB0D4C" w:rsidRPr="00C42BF6">
        <w:rPr>
          <w:rFonts w:ascii="Arial" w:eastAsia="Arial" w:hAnsi="Arial" w:cs="Arial"/>
          <w:color w:val="000000"/>
          <w:sz w:val="24"/>
          <w:szCs w:val="24"/>
        </w:rPr>
        <w:t xml:space="preserve"> </w:t>
      </w:r>
      <w:proofErr w:type="spellStart"/>
      <w:r w:rsidRPr="00C42BF6">
        <w:rPr>
          <w:rFonts w:ascii="Arial" w:eastAsia="Arial" w:hAnsi="Arial" w:cs="Arial"/>
          <w:color w:val="000000"/>
          <w:sz w:val="24"/>
          <w:szCs w:val="24"/>
        </w:rPr>
        <w:t>μL</w:t>
      </w:r>
      <w:proofErr w:type="spellEnd"/>
      <w:r w:rsidRPr="00C42BF6">
        <w:rPr>
          <w:rFonts w:ascii="Arial" w:eastAsia="Arial" w:hAnsi="Arial" w:cs="Arial"/>
          <w:color w:val="000000"/>
          <w:sz w:val="24"/>
          <w:szCs w:val="24"/>
        </w:rPr>
        <w:t>/min for 20 hours. After 24 hours total of culturing, the baths were then replaced with PSS, and EDD and EID were assessed as described above (</w:t>
      </w:r>
      <w:r w:rsidR="005E3F90" w:rsidRPr="00C42BF6">
        <w:rPr>
          <w:rFonts w:ascii="Arial" w:eastAsia="Arial" w:hAnsi="Arial" w:cs="Arial"/>
          <w:i/>
          <w:iCs/>
          <w:color w:val="000000"/>
          <w:sz w:val="24"/>
          <w:szCs w:val="24"/>
        </w:rPr>
        <w:t>Main endothelium-dependent dilation (EDD) experiments and pharmaco-dissection</w:t>
      </w:r>
      <w:r w:rsidRPr="00C42BF6">
        <w:rPr>
          <w:rFonts w:ascii="Arial" w:eastAsia="Arial" w:hAnsi="Arial" w:cs="Arial"/>
          <w:color w:val="000000"/>
          <w:sz w:val="24"/>
          <w:szCs w:val="24"/>
        </w:rPr>
        <w:t xml:space="preserve">), except that EDD was assessed 2x to ensure that the data were reproducible given the technical challenges of the experiment. Data were only used from vessels that had 2 repeatable dose responses (i.e., peak EDD were within ~10% of the other). Because of the duplicate EDD dose responses, pharmaco-dissection experiments were not conducted in these vessels. </w:t>
      </w:r>
    </w:p>
    <w:p w14:paraId="5F654AA3" w14:textId="77777777"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t>Validation of siRNA knockdown</w:t>
      </w:r>
    </w:p>
    <w:p w14:paraId="4BED344B" w14:textId="481EC1B6" w:rsidR="007F25DA" w:rsidRPr="00E7775B" w:rsidRDefault="277E52C9" w:rsidP="00FF30AE">
      <w:pPr>
        <w:spacing w:line="480" w:lineRule="auto"/>
        <w:ind w:firstLine="20"/>
        <w:rPr>
          <w:rFonts w:ascii="Arial" w:eastAsia="Arial" w:hAnsi="Arial" w:cs="Arial"/>
          <w:color w:val="000000"/>
          <w:sz w:val="24"/>
          <w:szCs w:val="24"/>
        </w:rPr>
      </w:pPr>
      <w:r w:rsidRPr="00C42BF6">
        <w:rPr>
          <w:rFonts w:ascii="Arial" w:eastAsia="Arial" w:hAnsi="Arial" w:cs="Arial"/>
          <w:color w:val="000000"/>
          <w:sz w:val="24"/>
          <w:szCs w:val="24"/>
        </w:rPr>
        <w:t xml:space="preserve"> </w:t>
      </w:r>
      <w:r w:rsidRPr="00C42BF6">
        <w:rPr>
          <w:rFonts w:ascii="Arial" w:hAnsi="Arial" w:cs="Arial"/>
          <w:color w:val="000000"/>
          <w:sz w:val="24"/>
          <w:szCs w:val="24"/>
        </w:rPr>
        <w:tab/>
      </w:r>
      <w:r w:rsidRPr="00C42BF6">
        <w:rPr>
          <w:rFonts w:ascii="Arial" w:eastAsia="Arial" w:hAnsi="Arial" w:cs="Arial"/>
          <w:color w:val="000000"/>
          <w:sz w:val="24"/>
          <w:szCs w:val="24"/>
        </w:rPr>
        <w:t>mRNA gene expression was measured in segments of thoracic aorta obtained from young mice (n = 6) that were treated with siRNA (siE</w:t>
      </w:r>
      <w:r w:rsidR="00C635F7">
        <w:rPr>
          <w:rFonts w:ascii="Arial" w:eastAsia="Arial" w:hAnsi="Arial" w:cs="Arial"/>
          <w:color w:val="000000"/>
          <w:sz w:val="24"/>
          <w:szCs w:val="24"/>
        </w:rPr>
        <w:t>gr</w:t>
      </w:r>
      <w:r w:rsidRPr="00C42BF6">
        <w:rPr>
          <w:rFonts w:ascii="Arial" w:eastAsia="Arial" w:hAnsi="Arial" w:cs="Arial"/>
          <w:color w:val="000000"/>
          <w:sz w:val="24"/>
          <w:szCs w:val="24"/>
        </w:rPr>
        <w:t xml:space="preserve">-1) or the corresponding control scrambled oligonucleotide, as described above. Samples were mechanically homogenized, and RNA was extracted using the RNeasy Micro Kit (Qiagen, Germantown, MD). cDNA was synthesized using the </w:t>
      </w:r>
      <w:proofErr w:type="spellStart"/>
      <w:r w:rsidRPr="00C42BF6">
        <w:rPr>
          <w:rFonts w:ascii="Arial" w:eastAsia="Arial" w:hAnsi="Arial" w:cs="Arial"/>
          <w:color w:val="000000"/>
          <w:sz w:val="24"/>
          <w:szCs w:val="24"/>
        </w:rPr>
        <w:t>iScript</w:t>
      </w:r>
      <w:proofErr w:type="spellEnd"/>
      <w:r w:rsidRPr="00C42BF6">
        <w:rPr>
          <w:rFonts w:ascii="Arial" w:eastAsia="Arial" w:hAnsi="Arial" w:cs="Arial"/>
          <w:color w:val="000000"/>
          <w:sz w:val="24"/>
          <w:szCs w:val="24"/>
        </w:rPr>
        <w:t xml:space="preserve"> cDNA synthesis kit (Bio-</w:t>
      </w:r>
      <w:r w:rsidRPr="00C42BF6">
        <w:rPr>
          <w:rFonts w:ascii="Arial" w:eastAsia="Arial" w:hAnsi="Arial" w:cs="Arial"/>
          <w:color w:val="000000"/>
          <w:sz w:val="24"/>
          <w:szCs w:val="24"/>
        </w:rPr>
        <w:lastRenderedPageBreak/>
        <w:t>Rad Laboratories, Hercules, CA). Transcripts of E</w:t>
      </w:r>
      <w:r w:rsidR="00C635F7">
        <w:rPr>
          <w:rFonts w:ascii="Arial" w:eastAsia="Arial" w:hAnsi="Arial" w:cs="Arial"/>
          <w:color w:val="000000"/>
          <w:sz w:val="24"/>
          <w:szCs w:val="24"/>
        </w:rPr>
        <w:t>gr</w:t>
      </w:r>
      <w:r w:rsidRPr="00C42BF6">
        <w:rPr>
          <w:rFonts w:ascii="Arial" w:eastAsia="Arial" w:hAnsi="Arial" w:cs="Arial"/>
          <w:color w:val="000000"/>
          <w:sz w:val="24"/>
          <w:szCs w:val="24"/>
        </w:rPr>
        <w:t xml:space="preserve">-1 (forward primer: </w:t>
      </w:r>
      <w:proofErr w:type="spellStart"/>
      <w:r w:rsidRPr="00C42BF6">
        <w:rPr>
          <w:rFonts w:ascii="Arial" w:eastAsia="Arial" w:hAnsi="Arial" w:cs="Arial"/>
          <w:color w:val="000000"/>
          <w:sz w:val="24"/>
          <w:szCs w:val="24"/>
        </w:rPr>
        <w:t>gagcgaacaaccctatgaga</w:t>
      </w:r>
      <w:proofErr w:type="spellEnd"/>
      <w:r w:rsidRPr="00C42BF6">
        <w:rPr>
          <w:rFonts w:ascii="Arial" w:eastAsia="Arial" w:hAnsi="Arial" w:cs="Arial"/>
          <w:color w:val="000000"/>
          <w:sz w:val="24"/>
          <w:szCs w:val="24"/>
        </w:rPr>
        <w:t xml:space="preserve">; Reverse primer: </w:t>
      </w:r>
      <w:proofErr w:type="spellStart"/>
      <w:r w:rsidRPr="00C42BF6">
        <w:rPr>
          <w:rFonts w:ascii="Arial" w:eastAsia="Arial" w:hAnsi="Arial" w:cs="Arial"/>
          <w:color w:val="000000"/>
          <w:sz w:val="24"/>
          <w:szCs w:val="24"/>
        </w:rPr>
        <w:t>gggataactcgtctccacca</w:t>
      </w:r>
      <w:proofErr w:type="spellEnd"/>
      <w:r w:rsidRPr="00C42BF6">
        <w:rPr>
          <w:rFonts w:ascii="Arial" w:eastAsia="Arial" w:hAnsi="Arial" w:cs="Arial"/>
          <w:color w:val="000000"/>
          <w:sz w:val="24"/>
          <w:szCs w:val="24"/>
        </w:rPr>
        <w:t xml:space="preserve">) were analyzed using a </w:t>
      </w:r>
      <w:proofErr w:type="spellStart"/>
      <w:r w:rsidRPr="00C42BF6">
        <w:rPr>
          <w:rFonts w:ascii="Arial" w:eastAsia="Arial" w:hAnsi="Arial" w:cs="Arial"/>
          <w:color w:val="000000"/>
          <w:sz w:val="24"/>
          <w:szCs w:val="24"/>
        </w:rPr>
        <w:t>StepOnePlus</w:t>
      </w:r>
      <w:proofErr w:type="spellEnd"/>
      <w:r w:rsidRPr="00C42BF6">
        <w:rPr>
          <w:rFonts w:ascii="Arial" w:eastAsia="Arial" w:hAnsi="Arial" w:cs="Arial"/>
          <w:color w:val="000000"/>
          <w:sz w:val="24"/>
          <w:szCs w:val="24"/>
        </w:rPr>
        <w:t xml:space="preserve"> Real-Time PCR System (Applied Biosystems, Waltham, MA) in 96-well plates and the </w:t>
      </w:r>
      <w:proofErr w:type="spellStart"/>
      <w:r w:rsidRPr="00C42BF6">
        <w:rPr>
          <w:rFonts w:ascii="Arial" w:eastAsia="Arial" w:hAnsi="Arial" w:cs="Arial"/>
          <w:color w:val="000000"/>
          <w:sz w:val="24"/>
          <w:szCs w:val="24"/>
        </w:rPr>
        <w:t>PowerUp</w:t>
      </w:r>
      <w:proofErr w:type="spellEnd"/>
      <w:r w:rsidRPr="00C42BF6">
        <w:rPr>
          <w:rFonts w:ascii="Arial" w:eastAsia="Arial" w:hAnsi="Arial" w:cs="Arial"/>
          <w:color w:val="000000"/>
          <w:sz w:val="24"/>
          <w:szCs w:val="24"/>
        </w:rPr>
        <w:t xml:space="preserve"> SYBR Green Master Mix (Applied Biosystems) was used as a master mix.</w:t>
      </w:r>
      <w:r w:rsidRPr="00C42BF6">
        <w:rPr>
          <w:rFonts w:ascii="Arial" w:eastAsia="Arial" w:hAnsi="Arial" w:cs="Arial"/>
          <w:color w:val="000000"/>
          <w:sz w:val="24"/>
          <w:szCs w:val="24"/>
          <w:vertAlign w:val="superscript"/>
        </w:rPr>
        <w:t xml:space="preserve"> </w:t>
      </w:r>
      <w:proofErr w:type="spellStart"/>
      <w:r w:rsidRPr="00C42BF6">
        <w:rPr>
          <w:rFonts w:ascii="Arial" w:eastAsia="Arial" w:hAnsi="Arial" w:cs="Arial"/>
          <w:color w:val="000000"/>
          <w:sz w:val="24"/>
          <w:szCs w:val="24"/>
          <w:vertAlign w:val="superscript"/>
        </w:rPr>
        <w:t>ΔΔ</w:t>
      </w:r>
      <w:r w:rsidRPr="00C42BF6">
        <w:rPr>
          <w:rFonts w:ascii="Arial" w:eastAsia="Arial" w:hAnsi="Arial" w:cs="Arial"/>
          <w:color w:val="000000"/>
          <w:sz w:val="24"/>
          <w:szCs w:val="24"/>
        </w:rPr>
        <w:t>Ct</w:t>
      </w:r>
      <w:proofErr w:type="spellEnd"/>
      <w:r w:rsidRPr="00C42BF6">
        <w:rPr>
          <w:rFonts w:ascii="Arial" w:eastAsia="Arial" w:hAnsi="Arial" w:cs="Arial"/>
          <w:color w:val="000000"/>
          <w:sz w:val="24"/>
          <w:szCs w:val="24"/>
        </w:rPr>
        <w:t xml:space="preserve"> was used to quantify relative gene expression. </w:t>
      </w:r>
      <w:proofErr w:type="spellStart"/>
      <w:r w:rsidRPr="00C42BF6">
        <w:rPr>
          <w:rFonts w:ascii="Arial" w:eastAsia="Arial" w:hAnsi="Arial" w:cs="Arial"/>
          <w:color w:val="000000"/>
          <w:sz w:val="24"/>
          <w:szCs w:val="24"/>
        </w:rPr>
        <w:t>SimpleSeq</w:t>
      </w:r>
      <w:proofErr w:type="spellEnd"/>
      <w:r w:rsidRPr="00C42BF6">
        <w:rPr>
          <w:rFonts w:ascii="Arial" w:eastAsia="Arial" w:hAnsi="Arial" w:cs="Arial"/>
          <w:color w:val="000000"/>
          <w:sz w:val="24"/>
          <w:szCs w:val="24"/>
        </w:rPr>
        <w:t xml:space="preserve"> DNA sequencing (</w:t>
      </w:r>
      <w:proofErr w:type="spellStart"/>
      <w:r w:rsidRPr="00C42BF6">
        <w:rPr>
          <w:rFonts w:ascii="Arial" w:eastAsia="Arial" w:hAnsi="Arial" w:cs="Arial"/>
          <w:color w:val="000000"/>
          <w:sz w:val="24"/>
          <w:szCs w:val="24"/>
        </w:rPr>
        <w:t>Quintara</w:t>
      </w:r>
      <w:proofErr w:type="spellEnd"/>
      <w:r w:rsidRPr="00C42BF6">
        <w:rPr>
          <w:rFonts w:ascii="Arial" w:eastAsia="Arial" w:hAnsi="Arial" w:cs="Arial"/>
          <w:color w:val="000000"/>
          <w:sz w:val="24"/>
          <w:szCs w:val="24"/>
        </w:rPr>
        <w:t xml:space="preserve"> Biosciences, Cambridge, MA) was used to validate primer sequences. Knockdown data are shown in </w:t>
      </w:r>
      <w:r w:rsidRPr="00C42BF6">
        <w:rPr>
          <w:rFonts w:ascii="Arial" w:eastAsia="Arial" w:hAnsi="Arial" w:cs="Arial"/>
          <w:b/>
          <w:bCs/>
          <w:color w:val="000000"/>
          <w:sz w:val="24"/>
          <w:szCs w:val="24"/>
        </w:rPr>
        <w:t xml:space="preserve">Figure </w:t>
      </w:r>
      <w:r w:rsidR="0063271B">
        <w:rPr>
          <w:rFonts w:ascii="Arial" w:eastAsia="Arial" w:hAnsi="Arial" w:cs="Arial"/>
          <w:b/>
          <w:bCs/>
          <w:color w:val="000000"/>
          <w:sz w:val="24"/>
          <w:szCs w:val="24"/>
        </w:rPr>
        <w:t>4A</w:t>
      </w:r>
      <w:r w:rsidRPr="00C42BF6">
        <w:rPr>
          <w:rFonts w:ascii="Arial" w:eastAsia="Arial" w:hAnsi="Arial" w:cs="Arial"/>
          <w:b/>
          <w:bCs/>
          <w:color w:val="000000"/>
          <w:sz w:val="24"/>
          <w:szCs w:val="24"/>
        </w:rPr>
        <w:t xml:space="preserve">. </w:t>
      </w:r>
      <w:r w:rsidR="00346C6B">
        <w:rPr>
          <w:rFonts w:ascii="Arial" w:eastAsia="Arial" w:hAnsi="Arial" w:cs="Arial"/>
          <w:color w:val="000000"/>
          <w:sz w:val="24"/>
          <w:szCs w:val="24"/>
        </w:rPr>
        <w:t xml:space="preserve">Protein abundance of Egr-1 was not assessed </w:t>
      </w:r>
      <w:r w:rsidR="002B75C5">
        <w:rPr>
          <w:rFonts w:ascii="Arial" w:eastAsia="Arial" w:hAnsi="Arial" w:cs="Arial"/>
          <w:color w:val="000000"/>
          <w:sz w:val="24"/>
          <w:szCs w:val="24"/>
        </w:rPr>
        <w:t>as all commercially available antibodies we tested were not sufficiently specific</w:t>
      </w:r>
      <w:r w:rsidR="00E02613">
        <w:rPr>
          <w:rFonts w:ascii="Arial" w:eastAsia="Arial" w:hAnsi="Arial" w:cs="Arial"/>
          <w:color w:val="000000"/>
          <w:sz w:val="24"/>
          <w:szCs w:val="24"/>
        </w:rPr>
        <w:t xml:space="preserve"> in whole aorta segments</w:t>
      </w:r>
      <w:r w:rsidR="002B75C5">
        <w:rPr>
          <w:rFonts w:ascii="Arial" w:eastAsia="Arial" w:hAnsi="Arial" w:cs="Arial"/>
          <w:color w:val="000000"/>
          <w:sz w:val="24"/>
          <w:szCs w:val="24"/>
        </w:rPr>
        <w:t xml:space="preserve">.  </w:t>
      </w:r>
    </w:p>
    <w:p w14:paraId="65FBFC5B" w14:textId="77777777" w:rsidR="277E52C9" w:rsidRPr="00C42BF6" w:rsidRDefault="277E52C9" w:rsidP="00FF30AE">
      <w:pPr>
        <w:spacing w:line="480" w:lineRule="auto"/>
        <w:ind w:firstLine="20"/>
        <w:rPr>
          <w:rFonts w:ascii="Arial" w:hAnsi="Arial" w:cs="Arial"/>
          <w:b/>
          <w:bCs/>
          <w:color w:val="000000"/>
          <w:sz w:val="24"/>
          <w:szCs w:val="24"/>
        </w:rPr>
      </w:pPr>
      <w:r w:rsidRPr="00C42BF6">
        <w:rPr>
          <w:rFonts w:ascii="Arial" w:eastAsia="Arial" w:hAnsi="Arial" w:cs="Arial"/>
          <w:b/>
          <w:bCs/>
          <w:i/>
          <w:iCs/>
          <w:color w:val="000000"/>
          <w:sz w:val="24"/>
          <w:szCs w:val="24"/>
        </w:rPr>
        <w:t>Aortic total and mitochondrial superoxide bioactivity</w:t>
      </w:r>
    </w:p>
    <w:p w14:paraId="0F0D2A78" w14:textId="72768C34"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 xml:space="preserve">Total and mitochondrial aortic superoxide bioactivity were determined by electron paramagnetic resonance (EPR) spectrometry using the spin probes 1-hydroxy-3-methoxycarbonyl-2,2,5,5- </w:t>
      </w:r>
      <w:proofErr w:type="spellStart"/>
      <w:r w:rsidRPr="00C42BF6">
        <w:rPr>
          <w:rFonts w:ascii="Arial" w:eastAsia="Arial" w:hAnsi="Arial" w:cs="Arial"/>
          <w:color w:val="000000"/>
          <w:sz w:val="24"/>
          <w:szCs w:val="24"/>
        </w:rPr>
        <w:t>tetramethylpyrrolidine</w:t>
      </w:r>
      <w:proofErr w:type="spellEnd"/>
      <w:r w:rsidRPr="00C42BF6">
        <w:rPr>
          <w:rFonts w:ascii="Arial" w:eastAsia="Arial" w:hAnsi="Arial" w:cs="Arial"/>
          <w:color w:val="000000"/>
          <w:sz w:val="24"/>
          <w:szCs w:val="24"/>
        </w:rPr>
        <w:t xml:space="preserve"> (CMH; Enzo Life Sciences, Farmingdale, NY) or 1-hydroxy-4-[2-triphenylphosphonio)-acetamido]-2,2,6,6-tetramethylpiperidine (Mito-TEMPO-H; Enzo Life Sciences), respectively.</w:t>
      </w:r>
      <w:r w:rsidR="000921D0" w:rsidRPr="00C42BF6">
        <w:rPr>
          <w:rFonts w:ascii="Arial" w:eastAsia="Arial" w:hAnsi="Arial" w:cs="Arial"/>
          <w:color w:val="000000"/>
          <w:sz w:val="24"/>
          <w:szCs w:val="24"/>
        </w:rPr>
        <w:fldChar w:fldCharType="begin"/>
      </w:r>
      <w:r w:rsidR="00F80CF1">
        <w:rPr>
          <w:rFonts w:ascii="Arial" w:eastAsia="Arial" w:hAnsi="Arial" w:cs="Arial"/>
          <w:color w:val="000000"/>
          <w:sz w:val="24"/>
          <w:szCs w:val="24"/>
        </w:rPr>
        <w:instrText xml:space="preserve"> ADDIN ZOTERO_ITEM CSL_CITATION {"citationID":"S1r7E8CT","properties":{"formattedCitation":"\\super 14,15\\nosupersub{}","plainCitation":"14,15","noteIndex":0},"citationItems":[{"id":1765,"uris":["http://zotero.org/users/local/6BakpO76/items/V86396Y8"],"itemData":{"id":1765,"type":"article-journal","abstract":"Vascular dysfunction: develops progressively with ageing; increases the risk of cardiovascular diseases (CVD); and is characterized by endothelial dysfunction and arterial stiffening, which are primarily mediated by superoxide-driven oxidative stress and consequently reduced nitric oxide (NO) bioavailability and arterial structural changes. Interventions initiated before vascular dysfunction manifests may have more promise for reducing CVD risk than interventions targeting established dysfunction. Gut microbiome-derived trimethylamine N-oxide (TMAO) induces vascular dysfunction, is associated with higher CV risk, and can be suppressed by 3,3-dimethyl-1-butanol (DMB). We investigated whether DMB supplementation could prevent age-related vascular dysfunction in C57BL/6N mice when initiated prior to development of dysfunction. Mice received drinking water with 1% DMB or normal drinking water (control) from midlife (18 months) until being studied at 21, 24 or 27 months of age, and were compared to young adult (5 month) mice. Endothelial function [carotid artery endothelium-dependent dilatation (EDD) to acetylcholine; pressure myography] progressively declined with age in control mice, which was fully prevented by DMB via higher NO-mediated EDD and lower superoxide-related suppression of EDD (normalization of EDD with the superoxide dismutase mimetic TEMPOL). In vivo aortic stiffness (pulse wave velocity) increased progressively with age in controls, but DMB attenuated stiffening by </w:instrText>
      </w:r>
      <w:r w:rsidR="00F80CF1">
        <w:rPr>
          <w:rFonts w:ascii="Cambria Math" w:eastAsia="Arial" w:hAnsi="Cambria Math" w:cs="Cambria Math"/>
          <w:color w:val="000000"/>
          <w:sz w:val="24"/>
          <w:szCs w:val="24"/>
        </w:rPr>
        <w:instrText>∼</w:instrText>
      </w:r>
      <w:r w:rsidR="00F80CF1">
        <w:rPr>
          <w:rFonts w:ascii="Arial" w:eastAsia="Arial" w:hAnsi="Arial" w:cs="Arial"/>
          <w:color w:val="000000"/>
          <w:sz w:val="24"/>
          <w:szCs w:val="24"/>
        </w:rPr>
        <w:instrText xml:space="preserve"> 70%, probably due to preservation of endothelial function, as DMB did not affect aortic intrinsic mechanical (structural) stiffness (stress-strain testing) nor adventitial abundance of the arterial structural protein collagen. Our findings indicate that long-term DMB supplementation prevents/attenuates age-related vascular dysfunction, and therefore has potential for translation to humans for reducing CV risk with ageing. KEY POINTS: Vascular dysfunction, characterized by endothelial dysfunction and arterial stiffening, develops progressively with ageing and increases the risk of cardiovascular diseases (CVD). Interventions aimed at preventing the development of CV risk factors have more potential for preventing CVD relative to those aimed at reversing established dysfunction. The gut microbiome-derived metabolite trimethylamine N-oxide (TMAO) induces vascular dysfunction, is associated with higher CV risk and can be suppressed by supplementation with 3,3-dimethyl-1-butanol (DMB). In mice, DMB prevented the development of endothelial dysfunction and delayed and attenuated in vivo arterial stiffening with ageing when supplementation was initiated in midlife, prior to the development of dysfunction. DMB supplementation or other TMAO-suppressing interventions have potential for translation to humans for reducing CV risk with ageing.","container-title":"The Journal of Physiology","DOI":"10.1113/JP283581","ISSN":"1469-7793","issue":"21","journalAbbreviation":"J Physiol","language":"eng","note":"PMID: 36111692","page":"4633-4651","source":"PubMed","title":"Initiation of 3,3-dimethyl-1-butanol at midlife prevents endothelial dysfunction and attenuates in vivo aortic stiffening with ageing in mice","volume":"600","author":[{"family":"Casso","given":"Abigail G."},{"family":"VanDongen","given":"Nicholas S."},{"family":"Gioscia-Ryan","given":"Rachel A."},{"family":"Clayton","given":"Zachary S."},{"family":"Greenberg","given":"Nathan T."},{"family":"Ziemba","given":"Brian P."},{"family":"Hutton","given":"David A."},{"family":"Neilson","given":"Andrew P."},{"family":"Davy","given":"Kevin P."},{"family":"Seals","given":"Douglas R."},{"family":"Brunt","given":"Vienna E."}],"issued":{"date-parts":[["2022",11]]}}},{"id":434,"uris":["http://zotero.org/users/local/6BakpO76/items/ZNT7HR6B"],"itemData":{"id":434,"type":"article-journal","abstract":"Age-related vascular endothelial dysfunction is a major antecedent to cardiovascular diseases. We investigated whether increased circulating levels of the gut microbiome-generated metabolite trimethylamine-N-oxide induces endothelial dysfunction with aging. In healthy humans, plasma trimethylamine-N-oxide was higher in middle-aged/older (64±7 years) versus young (22±2 years) adults (6.5±0.7 versus 1.6±0.2 µmol/L) and inversely related to brachial artery flow-mediated dilation (r\n                        2\n                    =0.29, P&lt;0.00001). In young mice, 6 months of dietary supplementation with trimethylamine-N-oxide induced an aging-like impairment in carotid artery endothelium-dependent dilation to acetylcholine versus control feeding (peak dilation: 79±3% versus 95±3%, P&lt;0.01). This impairment was accompanied by increased vascular nitrotyrosine, a marker of oxidative stress, and reversed by the superoxide dismutase mimetic 4-hydroxy-2,2,6,6-tetramethylpiperidin-1-oxyl. Trimethylamine-N-oxide supplementation also reduced activation of endothelial nitric oxide synthase and impaired nitric oxide-mediated dilation, as assessed with the nitric oxide synthase inhibitor L-NAME (NG-nitro-L-arginine methyl ester). Acute incubation of carotid arteries with trimethylamine-N-oxide recapitulated these events. Next, treatment with 3,3-dimethyl-1-butanol for 8 to 10 weeks to suppress trimethylamine-N-oxide selectively improved endothelium-dependent dilation in old mice to young levels (peak: 90±2%) by normalizing vascular superoxide production, restoring nitric oxide-mediated dilation, and ameliorating superoxide-related suppression of endothelium-dependent dilation. Lastly, among healthy middle-aged/older adults, higher plasma trimethylamine-N-oxide was associated with greater nitrotyrosine abundance in biopsied endothelial cells, and infusion of the antioxidant ascorbic acid restored flow-mediated dilation to young levels, indicating tonic oxidative stress-related suppression of endothelial function with higher circulating trimethylamine-N-oxide. Using multiple experimental approaches in mice and humans, we demonstrate a clear role of trimethylamine-N-oxide in promoting age-related endothelial dysfunction via oxidative stress, which may have implications for prevention of cardiovascular diseases.","container-title":"Hypertension (Dallas, Tex.: 1979)","DOI":"10.1161/HYPERTENSIONAHA.120.14759","ISSN":"1524-4563","issue":"1","journalAbbreviation":"Hypertension","language":"eng","note":"PMID: 32520619\nPMCID: PMC7295014","page":"101-112","source":"PubMed","title":"Trimethylamine-N-Oxide Promotes Age-Related Vascular Oxidative Stress and Endothelial Dysfunction in Mice and Healthy Humans","volume":"76","author":[{"family":"Brunt","given":"Vienna E."},{"family":"Gioscia-Ryan","given":"Rachel A."},{"family":"Casso","given":"Abigail G."},{"family":"VanDongen","given":"Nicholas S."},{"family":"Ziemba","given":"Brian P."},{"family":"Sapinsley","given":"Zachary J."},{"family":"Richey","given":"James J."},{"family":"Zigler","given":"Melanie C."},{"family":"Neilson","given":"Andrew P."},{"family":"Davy","given":"Kevin P."},{"family":"Seals","given":"Douglas R."}],"issued":{"date-parts":[["2020",7]]}}}],"schema":"https://github.com/citation-style-language/schema/raw/master/csl-citation.json"} </w:instrText>
      </w:r>
      <w:r w:rsidR="000921D0" w:rsidRPr="00C42BF6">
        <w:rPr>
          <w:rFonts w:ascii="Arial" w:eastAsia="Arial" w:hAnsi="Arial" w:cs="Arial"/>
          <w:color w:val="000000"/>
          <w:sz w:val="24"/>
          <w:szCs w:val="24"/>
        </w:rPr>
        <w:fldChar w:fldCharType="separate"/>
      </w:r>
      <w:r w:rsidR="00F80CF1" w:rsidRPr="00F80CF1">
        <w:rPr>
          <w:rFonts w:ascii="Arial" w:hAnsi="Arial" w:cs="Arial"/>
          <w:color w:val="000000"/>
          <w:sz w:val="24"/>
          <w:vertAlign w:val="superscript"/>
        </w:rPr>
        <w:t>14,15</w:t>
      </w:r>
      <w:r w:rsidR="000921D0"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Two 1 mm </w:t>
      </w:r>
      <w:r w:rsidR="002171F9">
        <w:rPr>
          <w:rFonts w:ascii="Arial" w:eastAsia="Arial" w:hAnsi="Arial" w:cs="Arial"/>
          <w:color w:val="000000"/>
          <w:sz w:val="24"/>
          <w:szCs w:val="24"/>
        </w:rPr>
        <w:t xml:space="preserve">(matched for volume) </w:t>
      </w:r>
      <w:r w:rsidRPr="00C42BF6">
        <w:rPr>
          <w:rFonts w:ascii="Arial" w:eastAsia="Arial" w:hAnsi="Arial" w:cs="Arial"/>
          <w:color w:val="000000"/>
          <w:sz w:val="24"/>
          <w:szCs w:val="24"/>
        </w:rPr>
        <w:t xml:space="preserve">aortic rings were washed in warm PSS and incubated in Krebs/HEPES buffer (99 mM NaCl, 4.7 mM </w:t>
      </w:r>
      <w:proofErr w:type="spellStart"/>
      <w:r w:rsidRPr="00C42BF6">
        <w:rPr>
          <w:rFonts w:ascii="Arial" w:eastAsia="Arial" w:hAnsi="Arial" w:cs="Arial"/>
          <w:color w:val="000000"/>
          <w:sz w:val="24"/>
          <w:szCs w:val="24"/>
        </w:rPr>
        <w:t>KCl</w:t>
      </w:r>
      <w:proofErr w:type="spellEnd"/>
      <w:r w:rsidRPr="00C42BF6">
        <w:rPr>
          <w:rFonts w:ascii="Arial" w:eastAsia="Arial" w:hAnsi="Arial" w:cs="Arial"/>
          <w:color w:val="000000"/>
          <w:sz w:val="24"/>
          <w:szCs w:val="24"/>
        </w:rPr>
        <w:t>, 1.87 mM CaCl</w:t>
      </w:r>
      <w:r w:rsidRPr="00C42BF6">
        <w:rPr>
          <w:rFonts w:ascii="Arial" w:eastAsia="Arial" w:hAnsi="Arial" w:cs="Arial"/>
          <w:color w:val="000000"/>
          <w:sz w:val="24"/>
          <w:szCs w:val="24"/>
          <w:vertAlign w:val="subscript"/>
        </w:rPr>
        <w:t>2</w:t>
      </w:r>
      <w:r w:rsidRPr="00C42BF6">
        <w:rPr>
          <w:rFonts w:ascii="Arial" w:eastAsia="Arial" w:hAnsi="Arial" w:cs="Arial"/>
          <w:color w:val="000000"/>
          <w:sz w:val="24"/>
          <w:szCs w:val="24"/>
        </w:rPr>
        <w:t>, 1.2 mM MgSO</w:t>
      </w:r>
      <w:r w:rsidRPr="00C42BF6">
        <w:rPr>
          <w:rFonts w:ascii="Arial" w:eastAsia="Arial" w:hAnsi="Arial" w:cs="Arial"/>
          <w:color w:val="000000"/>
          <w:sz w:val="24"/>
          <w:szCs w:val="24"/>
          <w:vertAlign w:val="subscript"/>
        </w:rPr>
        <w:t>4</w:t>
      </w:r>
      <w:r w:rsidRPr="00C42BF6">
        <w:rPr>
          <w:rFonts w:ascii="Arial" w:eastAsia="Arial" w:hAnsi="Arial" w:cs="Arial"/>
          <w:color w:val="000000"/>
          <w:sz w:val="24"/>
          <w:szCs w:val="24"/>
        </w:rPr>
        <w:t>, 25 mM NaHCO</w:t>
      </w:r>
      <w:r w:rsidRPr="00C42BF6">
        <w:rPr>
          <w:rFonts w:ascii="Arial" w:eastAsia="Arial" w:hAnsi="Arial" w:cs="Arial"/>
          <w:color w:val="000000"/>
          <w:sz w:val="24"/>
          <w:szCs w:val="24"/>
          <w:vertAlign w:val="subscript"/>
        </w:rPr>
        <w:t>3</w:t>
      </w:r>
      <w:r w:rsidRPr="00C42BF6">
        <w:rPr>
          <w:rFonts w:ascii="Arial" w:eastAsia="Arial" w:hAnsi="Arial" w:cs="Arial"/>
          <w:color w:val="000000"/>
          <w:sz w:val="24"/>
          <w:szCs w:val="24"/>
        </w:rPr>
        <w:t>, 1.03 mM KH</w:t>
      </w:r>
      <w:r w:rsidRPr="00C42BF6">
        <w:rPr>
          <w:rFonts w:ascii="Arial" w:eastAsia="Arial" w:hAnsi="Arial" w:cs="Arial"/>
          <w:color w:val="000000"/>
          <w:sz w:val="24"/>
          <w:szCs w:val="24"/>
          <w:vertAlign w:val="subscript"/>
        </w:rPr>
        <w:t>2</w:t>
      </w:r>
      <w:r w:rsidRPr="00C42BF6">
        <w:rPr>
          <w:rFonts w:ascii="Arial" w:eastAsia="Arial" w:hAnsi="Arial" w:cs="Arial"/>
          <w:color w:val="000000"/>
          <w:sz w:val="24"/>
          <w:szCs w:val="24"/>
        </w:rPr>
        <w:t>PO</w:t>
      </w:r>
      <w:r w:rsidRPr="00C42BF6">
        <w:rPr>
          <w:rFonts w:ascii="Arial" w:eastAsia="Arial" w:hAnsi="Arial" w:cs="Arial"/>
          <w:color w:val="000000"/>
          <w:sz w:val="24"/>
          <w:szCs w:val="24"/>
          <w:vertAlign w:val="subscript"/>
        </w:rPr>
        <w:t>4</w:t>
      </w:r>
      <w:r w:rsidRPr="00C42BF6">
        <w:rPr>
          <w:rFonts w:ascii="Arial" w:eastAsia="Arial" w:hAnsi="Arial" w:cs="Arial"/>
          <w:color w:val="000000"/>
          <w:sz w:val="24"/>
          <w:szCs w:val="24"/>
        </w:rPr>
        <w:t xml:space="preserve">, 20 mM </w:t>
      </w:r>
      <w:proofErr w:type="spellStart"/>
      <w:r w:rsidRPr="00C42BF6">
        <w:rPr>
          <w:rFonts w:ascii="Arial" w:eastAsia="Arial" w:hAnsi="Arial" w:cs="Arial"/>
          <w:color w:val="000000"/>
          <w:sz w:val="24"/>
          <w:szCs w:val="24"/>
        </w:rPr>
        <w:t>NaHEPES</w:t>
      </w:r>
      <w:proofErr w:type="spellEnd"/>
      <w:r w:rsidRPr="00C42BF6">
        <w:rPr>
          <w:rFonts w:ascii="Arial" w:eastAsia="Arial" w:hAnsi="Arial" w:cs="Arial"/>
          <w:color w:val="000000"/>
          <w:sz w:val="24"/>
          <w:szCs w:val="24"/>
        </w:rPr>
        <w:t xml:space="preserve">, 11.1 mM glucose, 0.1 mM </w:t>
      </w:r>
      <w:proofErr w:type="spellStart"/>
      <w:r w:rsidRPr="00C42BF6">
        <w:rPr>
          <w:rFonts w:ascii="Arial" w:eastAsia="Arial" w:hAnsi="Arial" w:cs="Arial"/>
          <w:color w:val="000000"/>
          <w:sz w:val="24"/>
          <w:szCs w:val="24"/>
        </w:rPr>
        <w:t>diethylenetriaminepenta</w:t>
      </w:r>
      <w:proofErr w:type="spellEnd"/>
      <w:r w:rsidRPr="00C42BF6">
        <w:rPr>
          <w:rFonts w:ascii="Arial" w:eastAsia="Arial" w:hAnsi="Arial" w:cs="Arial"/>
          <w:color w:val="000000"/>
          <w:sz w:val="24"/>
          <w:szCs w:val="24"/>
        </w:rPr>
        <w:t xml:space="preserve">-acetic acid, 0.0035 mM sodium diethyldithiocarbamate and </w:t>
      </w:r>
      <w:proofErr w:type="spellStart"/>
      <w:r w:rsidRPr="00C42BF6">
        <w:rPr>
          <w:rFonts w:ascii="Arial" w:eastAsia="Arial" w:hAnsi="Arial" w:cs="Arial"/>
          <w:color w:val="000000"/>
          <w:sz w:val="24"/>
          <w:szCs w:val="24"/>
        </w:rPr>
        <w:t>Chelex</w:t>
      </w:r>
      <w:proofErr w:type="spellEnd"/>
      <w:r w:rsidRPr="00C42BF6">
        <w:rPr>
          <w:rFonts w:ascii="Arial" w:eastAsia="Arial" w:hAnsi="Arial" w:cs="Arial"/>
          <w:color w:val="000000"/>
          <w:sz w:val="24"/>
          <w:szCs w:val="24"/>
        </w:rPr>
        <w:t xml:space="preserve"> [Sigma-Aldrich Corp.]) containing 0.5 mM CMH or </w:t>
      </w:r>
      <w:proofErr w:type="spellStart"/>
      <w:r w:rsidRPr="00C42BF6">
        <w:rPr>
          <w:rFonts w:ascii="Arial" w:eastAsia="Arial" w:hAnsi="Arial" w:cs="Arial"/>
          <w:color w:val="000000"/>
          <w:sz w:val="24"/>
          <w:szCs w:val="24"/>
        </w:rPr>
        <w:t>MitoTEMPO</w:t>
      </w:r>
      <w:proofErr w:type="spellEnd"/>
      <w:r w:rsidRPr="00C42BF6">
        <w:rPr>
          <w:rFonts w:ascii="Arial" w:eastAsia="Arial" w:hAnsi="Arial" w:cs="Arial"/>
          <w:color w:val="000000"/>
          <w:sz w:val="24"/>
          <w:szCs w:val="24"/>
        </w:rPr>
        <w:t>-H at 37°C for 60 min. Samples were analyzed using a MS300 X- band EPR spectrometer (</w:t>
      </w:r>
      <w:proofErr w:type="spellStart"/>
      <w:r w:rsidRPr="00C42BF6">
        <w:rPr>
          <w:rFonts w:ascii="Arial" w:eastAsia="Arial" w:hAnsi="Arial" w:cs="Arial"/>
          <w:color w:val="000000"/>
          <w:sz w:val="24"/>
          <w:szCs w:val="24"/>
        </w:rPr>
        <w:t>Magnettech</w:t>
      </w:r>
      <w:proofErr w:type="spellEnd"/>
      <w:r w:rsidRPr="00C42BF6">
        <w:rPr>
          <w:rFonts w:ascii="Arial" w:eastAsia="Arial" w:hAnsi="Arial" w:cs="Arial"/>
          <w:color w:val="000000"/>
          <w:sz w:val="24"/>
          <w:szCs w:val="24"/>
        </w:rPr>
        <w:t xml:space="preserve">, Berlin, Germany) with the following instrument parameters: BO-Field, 3350 G; sweep, </w:t>
      </w:r>
      <w:r w:rsidRPr="00C42BF6">
        <w:rPr>
          <w:rFonts w:ascii="Arial" w:eastAsia="Arial" w:hAnsi="Arial" w:cs="Arial"/>
          <w:color w:val="000000"/>
          <w:sz w:val="24"/>
          <w:szCs w:val="24"/>
        </w:rPr>
        <w:lastRenderedPageBreak/>
        <w:t xml:space="preserve">80 G; sweep time, 60 s; modulation, 3000 </w:t>
      </w:r>
      <w:proofErr w:type="spellStart"/>
      <w:r w:rsidRPr="00C42BF6">
        <w:rPr>
          <w:rFonts w:ascii="Arial" w:eastAsia="Arial" w:hAnsi="Arial" w:cs="Arial"/>
          <w:color w:val="000000"/>
          <w:sz w:val="24"/>
          <w:szCs w:val="24"/>
        </w:rPr>
        <w:t>mG</w:t>
      </w:r>
      <w:proofErr w:type="spellEnd"/>
      <w:r w:rsidRPr="00C42BF6">
        <w:rPr>
          <w:rFonts w:ascii="Arial" w:eastAsia="Arial" w:hAnsi="Arial" w:cs="Arial"/>
          <w:color w:val="000000"/>
          <w:sz w:val="24"/>
          <w:szCs w:val="24"/>
        </w:rPr>
        <w:t xml:space="preserve">; MW </w:t>
      </w:r>
      <w:proofErr w:type="spellStart"/>
      <w:r w:rsidRPr="00C42BF6">
        <w:rPr>
          <w:rFonts w:ascii="Arial" w:eastAsia="Arial" w:hAnsi="Arial" w:cs="Arial"/>
          <w:color w:val="000000"/>
          <w:sz w:val="24"/>
          <w:szCs w:val="24"/>
        </w:rPr>
        <w:t>atten</w:t>
      </w:r>
      <w:proofErr w:type="spellEnd"/>
      <w:r w:rsidRPr="00C42BF6">
        <w:rPr>
          <w:rFonts w:ascii="Arial" w:eastAsia="Arial" w:hAnsi="Arial" w:cs="Arial"/>
          <w:color w:val="000000"/>
          <w:sz w:val="24"/>
          <w:szCs w:val="24"/>
        </w:rPr>
        <w:t xml:space="preserve">, 7dB; gain, 5 x e^1.  </w:t>
      </w:r>
      <w:r w:rsidR="00E02613">
        <w:rPr>
          <w:rFonts w:ascii="Arial" w:eastAsia="Arial" w:hAnsi="Arial" w:cs="Arial"/>
          <w:color w:val="000000"/>
          <w:sz w:val="24"/>
          <w:szCs w:val="24"/>
        </w:rPr>
        <w:t xml:space="preserve">EPR signal was not normalized as aorta ring length was standardized across all mice. </w:t>
      </w:r>
    </w:p>
    <w:p w14:paraId="0722F74B" w14:textId="77777777"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t>Plasma proinflammatory cytokines/chemokines</w:t>
      </w:r>
    </w:p>
    <w:p w14:paraId="6375A67A" w14:textId="37433298"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Plasma levels of proinflammatory cytokines and chemokines were determined using a mouse G-series semi-quantitative cytokine array (</w:t>
      </w:r>
      <w:proofErr w:type="spellStart"/>
      <w:r w:rsidRPr="00C42BF6">
        <w:rPr>
          <w:rFonts w:ascii="Arial" w:eastAsia="Arial" w:hAnsi="Arial" w:cs="Arial"/>
          <w:color w:val="000000"/>
          <w:sz w:val="24"/>
          <w:szCs w:val="24"/>
        </w:rPr>
        <w:t>Raybiotech</w:t>
      </w:r>
      <w:proofErr w:type="spellEnd"/>
      <w:r w:rsidRPr="00C42BF6">
        <w:rPr>
          <w:rFonts w:ascii="Arial" w:eastAsia="Arial" w:hAnsi="Arial" w:cs="Arial"/>
          <w:color w:val="000000"/>
          <w:sz w:val="24"/>
          <w:szCs w:val="24"/>
        </w:rPr>
        <w:t>, Peachtree Corners, GA; Cat#50-195-0454). Plasma was diluted 2x, and the assay was performed according to the manufacturer’s instructions. The array slides were shipped to the manufacturer for scanning and data extraction</w:t>
      </w:r>
      <w:r w:rsidR="002171F9">
        <w:rPr>
          <w:rFonts w:ascii="Arial" w:eastAsia="Arial" w:hAnsi="Arial" w:cs="Arial"/>
          <w:color w:val="000000"/>
          <w:sz w:val="24"/>
          <w:szCs w:val="24"/>
        </w:rPr>
        <w:t xml:space="preserve">. Data were normalized to two </w:t>
      </w:r>
      <w:r w:rsidR="002171F9" w:rsidRPr="002171F9">
        <w:rPr>
          <w:rFonts w:ascii="Arial" w:eastAsia="Arial" w:hAnsi="Arial" w:cs="Arial"/>
          <w:color w:val="000000"/>
          <w:sz w:val="24"/>
          <w:szCs w:val="24"/>
        </w:rPr>
        <w:t xml:space="preserve">internal </w:t>
      </w:r>
      <w:r w:rsidR="00F47681">
        <w:rPr>
          <w:rFonts w:ascii="Arial" w:eastAsia="Arial" w:hAnsi="Arial" w:cs="Arial"/>
          <w:color w:val="000000"/>
          <w:sz w:val="24"/>
          <w:szCs w:val="24"/>
        </w:rPr>
        <w:t xml:space="preserve">proprietary </w:t>
      </w:r>
      <w:r w:rsidR="002171F9" w:rsidRPr="002171F9">
        <w:rPr>
          <w:rFonts w:ascii="Arial" w:eastAsia="Arial" w:hAnsi="Arial" w:cs="Arial"/>
          <w:color w:val="000000"/>
          <w:sz w:val="24"/>
          <w:szCs w:val="24"/>
        </w:rPr>
        <w:t>positive control</w:t>
      </w:r>
      <w:r w:rsidR="002171F9">
        <w:rPr>
          <w:rFonts w:ascii="Arial" w:eastAsia="Arial" w:hAnsi="Arial" w:cs="Arial"/>
          <w:color w:val="000000"/>
          <w:sz w:val="24"/>
          <w:szCs w:val="24"/>
        </w:rPr>
        <w:t>s</w:t>
      </w:r>
      <w:r w:rsidRPr="00C42BF6">
        <w:rPr>
          <w:rFonts w:ascii="Arial" w:eastAsia="Arial" w:hAnsi="Arial" w:cs="Arial"/>
          <w:color w:val="000000"/>
          <w:sz w:val="24"/>
          <w:szCs w:val="24"/>
        </w:rPr>
        <w:t xml:space="preserve"> and </w:t>
      </w:r>
      <w:r w:rsidR="00A16017">
        <w:rPr>
          <w:rFonts w:ascii="Arial" w:eastAsia="Arial" w:hAnsi="Arial" w:cs="Arial"/>
          <w:color w:val="000000"/>
          <w:sz w:val="24"/>
          <w:szCs w:val="24"/>
        </w:rPr>
        <w:t>were</w:t>
      </w:r>
      <w:r w:rsidRPr="00C42BF6">
        <w:rPr>
          <w:rFonts w:ascii="Arial" w:eastAsia="Arial" w:hAnsi="Arial" w:cs="Arial"/>
          <w:color w:val="000000"/>
          <w:sz w:val="24"/>
          <w:szCs w:val="24"/>
        </w:rPr>
        <w:t xml:space="preserve"> sorted and assessed for outliers using the excel-based GS Series Software (GSM-CYT-5), which was provided by the manufacturer.</w:t>
      </w:r>
    </w:p>
    <w:p w14:paraId="338072EF" w14:textId="20331AFB"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t>In vivo aortic stiffness</w:t>
      </w:r>
      <w:r w:rsidR="00FB63B2">
        <w:rPr>
          <w:rFonts w:ascii="Arial" w:eastAsia="Arial" w:hAnsi="Arial" w:cs="Arial"/>
          <w:b/>
          <w:bCs/>
          <w:i/>
          <w:iCs/>
          <w:color w:val="000000"/>
          <w:sz w:val="24"/>
          <w:szCs w:val="24"/>
        </w:rPr>
        <w:t xml:space="preserve"> (pulse wave velocity, PWV)</w:t>
      </w:r>
    </w:p>
    <w:p w14:paraId="61C601C8" w14:textId="33967E57" w:rsidR="277E52C9" w:rsidRPr="00C42BF6" w:rsidRDefault="02615A84" w:rsidP="00FF30AE">
      <w:pPr>
        <w:spacing w:line="480" w:lineRule="auto"/>
        <w:rPr>
          <w:rFonts w:ascii="Arial" w:hAnsi="Arial" w:cs="Arial"/>
          <w:color w:val="000000"/>
          <w:sz w:val="24"/>
          <w:szCs w:val="24"/>
        </w:rPr>
      </w:pPr>
      <w:r w:rsidRPr="02615A84">
        <w:rPr>
          <w:rFonts w:ascii="Arial" w:eastAsia="Arial" w:hAnsi="Arial" w:cs="Arial"/>
          <w:color w:val="000000" w:themeColor="text1"/>
          <w:sz w:val="24"/>
          <w:szCs w:val="24"/>
        </w:rPr>
        <w:t xml:space="preserve">           Mice were anesthetized under 1-5% inhaled isoflurane in O</w:t>
      </w:r>
      <w:r w:rsidRPr="02615A84">
        <w:rPr>
          <w:rFonts w:ascii="Arial" w:eastAsia="Arial" w:hAnsi="Arial" w:cs="Arial"/>
          <w:color w:val="000000" w:themeColor="text1"/>
          <w:sz w:val="24"/>
          <w:szCs w:val="24"/>
          <w:vertAlign w:val="subscript"/>
        </w:rPr>
        <w:t>2</w:t>
      </w:r>
      <w:r w:rsidRPr="02615A84">
        <w:rPr>
          <w:rFonts w:ascii="Arial" w:eastAsia="Arial" w:hAnsi="Arial" w:cs="Arial"/>
          <w:color w:val="000000" w:themeColor="text1"/>
          <w:sz w:val="24"/>
          <w:szCs w:val="24"/>
        </w:rPr>
        <w:t xml:space="preserve"> and placed supine on a heating pad (37°C) with paws secured to ECG electrodes. Heart rate was maintained between ~400-500 beats/min, and Doppler ultrasonography (Doppler Signal Processing Workstation, Indus Instruments, Webster, TX) was used to detect arterial waveforms at the transverse aortic arch and abdominal aorta</w:t>
      </w:r>
      <w:r w:rsidR="277E52C9" w:rsidRPr="02615A84">
        <w:rPr>
          <w:rFonts w:ascii="Arial" w:eastAsia="Arial" w:hAnsi="Arial" w:cs="Arial"/>
          <w:color w:val="000000" w:themeColor="text1"/>
          <w:sz w:val="24"/>
          <w:szCs w:val="24"/>
        </w:rPr>
        <w:fldChar w:fldCharType="begin"/>
      </w:r>
      <w:r w:rsidR="00F80CF1">
        <w:rPr>
          <w:rFonts w:ascii="Arial" w:eastAsia="Arial" w:hAnsi="Arial" w:cs="Arial"/>
          <w:color w:val="000000" w:themeColor="text1"/>
          <w:sz w:val="24"/>
          <w:szCs w:val="24"/>
        </w:rPr>
        <w:instrText xml:space="preserve"> ADDIN ZOTERO_ITEM CSL_CITATION {"citationID":"FXYhJE0z","properties":{"formattedCitation":"\\super 19\\uc0\\u8211{}21\\nosupersub{}","plainCitation":"19–21","noteIndex":0},"citationItems":[{"id":442,"uris":["http://zotero.org/users/local/6BakpO76/items/T63TPFHR"],"itemData":{"id":442,"type":"article-journal","abstract":"KEY POINTS: Age-related arterial dysfunction, characterized by oxidative stress- and inflammation-mediated endothelial dysfunction and arterial stiffening, is the primary risk factor for cardiovascular diseases. To investigate whether age-related changes in the gut microbiome may mediate arterial dysfunction, we suppressed gut microbiota in young and old mice with a cocktail of broad-spectrum, poorly-absorbed antibiotics in drinking water for 3-4 weeks. In old mice, antibiotic treatment reversed endothelial dysfunction and arterial stiffening and attenuated vascular oxidative stress and inflammation. To provide insight into age-related changes in gut microbiota that may underlie these observations, we show that ageing altered the abundance of microbial taxa associated with gut dysbiosis and increased plasma levels of the adverse gut-derived metabolite trimethylamine N-oxide. The results of the present study provide the first proof-of-concept evidence that the gut microbiome is an important mediator of age-related arterial dysfunction and therefore may be a promising therapeutic target for preserving arterial function with ageing, thereby reducing the risk of cardiovascular diseases.\nABSTRACT: Oxidative stress-mediated arterial dysfunction (e.g. endothelial dysfunction and large elastic artery stiffening) is the primary mechanism driving age-related cardiovascular diseases. Accumulating evidence suggests the gut microbiome modulates host physiology because dysregulation ('gut dysbiosis') has systemic consequences, including promotion of oxidative stress. The present study aimed to determine whether the gut microbiome modulates arterial function with ageing. We measured arterial function in young and older mice after 3-4 weeks of treatment with broad-spectrum, poorly-absorbed antibiotics to suppress the gut microbiome. To identify potential mechanistic links between the gut microbiome and age-related arterial dysfunction, we sequenced microbiota from young and older mice and measured plasma levels of the adverse gut-derived metabolite trimethylamine N-oxide (TMAO). In old mice, antibiotics reversed endothelial dysfunction [area-under-the-curve carotid artery dilatation to acetylcholine in young: 345 ± 16 AU vs. old control (OC): 220 ± 34 AU, P &lt; 0.01; vs. old antibiotic-treated (OA): 334 ± 15 AU; P &lt; 0.01 vs. OC] and arterial stiffening (aortic pulse wave velocity in young: 3.62 ± 0.15 m  s-1  vs. OC: 4.43 ± 0.38 m  s-1 ; vs. OA: 3.52 ± 0.35 m  s-1 ; P = 0.03). These improvements were accompanied by lower oxidative stress and greater antioxidant enzyme expression. Ageing altered the abundance of gut microbial taxa associated with gut dysbiosis. Lastly, plasma TMAO was higher with ageing (young: 2.6 ± 0.4 μmol  L-1   vs. OC: 7.2 ± 2.0 μmol  L-1 ; P &lt; 0.0001) and suppressed by antibiotic treatment (OA: 1.2 ± 0.2 μmol  L-1 ; P &lt; 0.0001 vs. OC). The results of the present study provide the first evidence for the gut microbiome being an important mediator of age-related arterial dysfunction and oxidative stress and suggest that therapeutic strategies targeting gut microbiome health may hold promise for preserving arterial function and reducing cardiovascular risk with ageing in humans.","container-title":"The Journal of Physiology","DOI":"10.1113/JP277336","ISSN":"1469-7793","issue":"9","journalAbbreviation":"J Physiol","language":"eng","note":"PMID: 30714619\nPMCID: PMC6487935","page":"2361-2378","source":"PubMed","title":"Suppression of the gut microbiome ameliorates age-related arterial dysfunction and oxidative stress in mice","volume":"597","author":[{"family":"Brunt","given":"Vienna E."},{"family":"Gioscia-Ryan","given":"Rachel A."},{"family":"Richey","given":"James J."},{"family":"Zigler","given":"Melanie C."},{"family":"Cuevas","given":"Lauren M."},{"family":"Gonzalez","given":"Antonio"},{"family":"Vázquez-Baeza","given":"Yoshiki"},{"family":"Battson","given":"Micah L."},{"family":"Smithson","given":"Andrew T."},{"family":"Gilley","given":"Andrew D."},{"family":"Ackermann","given":"Gail"},{"family":"Neilson","given":"Andrew P."},{"family":"Weir","given":"Tiffany"},{"family":"Davy","given":"Kevin P."},{"family":"Knight","given":"Rob"},{"family":"Seals","given":"Douglas R."}],"issued":{"date-parts":[["2019"]]}}},{"id":780,"uris":["http://zotero.org/users/local/6BakpO76/items/J7MF6ILW"],"itemData":{"id":780,"type":"article-journal","abstract":"[Figure: see text].","container-title":"Hypertension (Dallas, Tex.: 1979)","DOI":"10.1161/HYPERTENSIONAHA.120.16895","ISSN":"1524-4563","issue":"2","journalAbbreviation":"Hypertension","language":"eng","note":"PMID: 33966451\nPMCID: PMC8266738","page":"499-511","source":"PubMed","title":"Gut Microbiome-Derived Metabolite Trimethylamine N-Oxide Induces Aortic Stiffening and Increases Systolic Blood Pressure With Aging in Mice and Humans","volume":"78","author":[{"family":"Brunt","given":"Vienna E."},{"family":"Casso","given":"Abigail G."},{"family":"Gioscia-Ryan","given":"Rachel A."},{"family":"Sapinsley","given":"Zachary J."},{"family":"Ziemba","given":"Brian P."},{"family":"Clayton","given":"Zachary S."},{"family":"Bazzoni","given":"Amy E."},{"family":"VanDongen","given":"Nicholas S."},{"family":"Richey","given":"James J."},{"family":"Hutton","given":"David A."},{"family":"Zigler","given":"Melanie C."},{"family":"Neilson","given":"Andrew P."},{"family":"Davy","given":"Kevin P."},{"family":"Seals","given":"Douglas R."}],"issued":{"date-parts":[["2021",8]]}}},{"id":2795,"uris":["http://zotero.org/users/local/6BakpO76/items/IULDNR9J"],"itemData":{"id":2795,"type":"article-journal","abstract":"The aorta stiffens with aging in both men and women, which predicts cardiovascular mortality. Aortic wall structural and extracellular matrix (ECM) remodeling, induced in part by chronic low-grade inflammation, contribute to aortic stiffening. Male mice are an established model of aortic aging. However, there is little information regarding whether female mice are an appropriate model of aortic aging in women, which we aimed to elucidate in the present study. We assessed two strains of mice and found that in C57BL/6N mice, in vivo aortic stiffness (pulse wave velocity, PWV) was higher with aging in both sexes, whereas in B6D2F1 mice, PWV was higher in old versus young male mice, but not in old versus young female mice. Because the age-related stiffening that occurs in men and women was reflected in male and female C57BL/6N mice, we examined the mechanisms of stiffening in this strain. In both sexes, aortic modulus of elasticity (pin myography) was lower in old mice, occurred in conjunction with and was related to higher plasma levels of the elastin-degrading enzyme matrix metalloproteinase-9 (MMP-9), and was accompanied by higher numbers of aortic elastin breaks and higher abundance of adventitial collagen-1. Plasma levels of the inflammatory cytokines interferon-γ, interleukin 6, and monocyte chemoattractant protein-1 were higher in both sexes of old mice. In conclusion, female C57BL/6N mice exhibit aortic stiffening, reduced modulus of elasticity and structural/ECM remodeling, and associated increases in MMP-9 and systemic inflammation with aging, and thus are an appropriate model of aortic aging in women.NEW &amp; NOTEWORTHY Our study demonstrates that with aging, female C57BL/6N mice exhibit higher in vivo aortic stiffness, reduced modulus of elasticity, aortic wall structural and extracellular matrix remodeling, and elevations in systemic inflammation. These changes are largely reflective of those that occur with aging in women. Thus, female C57BL/6N mice are a viable model of human aortic aging and the utility of these animals should be considered in future biomedical investigations.","container-title":"American Journal of Physiology. Heart and Circulatory Physiology","DOI":"10.1152/ajpheart.00120.2023","ISSN":"1522-1539","issue":"6","journalAbbreviation":"Am J Physiol Heart Circ Physiol","language":"eng","note":"PMID: 37115626\nPMCID: PMC10202480","page":"H893-H904","source":"PubMed","title":"Female C57BL/6N mice are a viable model of aortic aging in women","volume":"324","author":[{"family":"Longtine","given":"Abigail G."},{"family":"Venkatasubramanian","given":"Ravinandan"},{"family":"Zigler","given":"Melanie C."},{"family":"Lindquist","given":"Alexandra J."},{"family":"Mahoney","given":"Sophia A."},{"family":"Greenberg","given":"Nathan T."},{"family":"VanDongen","given":"Nicholas S."},{"family":"Ludwig","given":"Katelyn R."},{"family":"Moreau","given":"Kerrie L."},{"family":"Seals","given":"Douglas R."},{"family":"Clayton","given":"Zachary S."}],"issued":{"date-parts":[["2023",6,1]]}}}],"schema":"https://github.com/citation-style-language/schema/raw/master/csl-citation.json"} </w:instrText>
      </w:r>
      <w:r w:rsidR="277E52C9" w:rsidRPr="02615A84">
        <w:rPr>
          <w:rFonts w:ascii="Arial" w:eastAsia="Arial" w:hAnsi="Arial" w:cs="Arial"/>
          <w:color w:val="000000" w:themeColor="text1"/>
          <w:sz w:val="24"/>
          <w:szCs w:val="24"/>
        </w:rPr>
        <w:fldChar w:fldCharType="separate"/>
      </w:r>
      <w:r w:rsidR="00F80CF1" w:rsidRPr="00F80CF1">
        <w:rPr>
          <w:rFonts w:ascii="Arial" w:hAnsi="Arial" w:cs="Arial"/>
          <w:color w:val="000000"/>
          <w:sz w:val="24"/>
          <w:vertAlign w:val="superscript"/>
        </w:rPr>
        <w:t>19–21</w:t>
      </w:r>
      <w:r w:rsidR="277E52C9" w:rsidRPr="02615A84">
        <w:rPr>
          <w:rFonts w:ascii="Arial" w:eastAsia="Arial" w:hAnsi="Arial" w:cs="Arial"/>
          <w:color w:val="000000" w:themeColor="text1"/>
          <w:sz w:val="24"/>
          <w:szCs w:val="24"/>
        </w:rPr>
        <w:fldChar w:fldCharType="end"/>
      </w:r>
      <w:r w:rsidRPr="02615A84">
        <w:rPr>
          <w:rFonts w:ascii="Arial" w:eastAsia="Arial" w:hAnsi="Arial" w:cs="Arial"/>
          <w:color w:val="000000" w:themeColor="text1"/>
          <w:sz w:val="24"/>
          <w:szCs w:val="24"/>
        </w:rPr>
        <w:t>. Three consecutive 2-second tracings were obtained, and the distance between the two doppler probes was measured using calipers. The time delay between the ECG R-wave and each pressure wave was determined as the pre-</w:t>
      </w:r>
      <w:proofErr w:type="spellStart"/>
      <w:r w:rsidRPr="02615A84">
        <w:rPr>
          <w:rFonts w:ascii="Arial" w:eastAsia="Arial" w:hAnsi="Arial" w:cs="Arial"/>
          <w:color w:val="000000" w:themeColor="text1"/>
          <w:sz w:val="24"/>
          <w:szCs w:val="24"/>
        </w:rPr>
        <w:t>ejection</w:t>
      </w:r>
      <w:proofErr w:type="spellEnd"/>
      <w:r w:rsidRPr="02615A84">
        <w:rPr>
          <w:rFonts w:ascii="Arial" w:eastAsia="Arial" w:hAnsi="Arial" w:cs="Arial"/>
          <w:color w:val="000000" w:themeColor="text1"/>
          <w:sz w:val="24"/>
          <w:szCs w:val="24"/>
        </w:rPr>
        <w:t xml:space="preserve"> time. PWV (cm/second) was calculated as the distance between the probes (cm) divided by the difference between the pre-ejection times (</w:t>
      </w:r>
      <w:proofErr w:type="spellStart"/>
      <w:proofErr w:type="gramStart"/>
      <w:r w:rsidRPr="02615A84">
        <w:rPr>
          <w:rFonts w:ascii="Arial" w:eastAsia="Arial" w:hAnsi="Arial" w:cs="Arial"/>
          <w:color w:val="000000" w:themeColor="text1"/>
          <w:sz w:val="24"/>
          <w:szCs w:val="24"/>
        </w:rPr>
        <w:t>T</w:t>
      </w:r>
      <w:r w:rsidRPr="02615A84">
        <w:rPr>
          <w:rFonts w:ascii="Arial" w:eastAsia="Arial" w:hAnsi="Arial" w:cs="Arial"/>
          <w:color w:val="000000" w:themeColor="text1"/>
          <w:sz w:val="24"/>
          <w:szCs w:val="24"/>
          <w:vertAlign w:val="subscript"/>
        </w:rPr>
        <w:t>abdominal</w:t>
      </w:r>
      <w:proofErr w:type="spellEnd"/>
      <w:r w:rsidRPr="02615A84">
        <w:rPr>
          <w:rFonts w:ascii="Arial" w:eastAsia="Arial" w:hAnsi="Arial" w:cs="Arial"/>
          <w:color w:val="000000" w:themeColor="text1"/>
          <w:sz w:val="24"/>
          <w:szCs w:val="24"/>
          <w:vertAlign w:val="subscript"/>
        </w:rPr>
        <w:t xml:space="preserve">  </w:t>
      </w:r>
      <w:r w:rsidRPr="02615A84">
        <w:rPr>
          <w:rFonts w:ascii="Arial" w:eastAsia="Arial" w:hAnsi="Arial" w:cs="Arial"/>
          <w:color w:val="000000" w:themeColor="text1"/>
          <w:sz w:val="24"/>
          <w:szCs w:val="24"/>
        </w:rPr>
        <w:t>–</w:t>
      </w:r>
      <w:proofErr w:type="gramEnd"/>
      <w:r w:rsidRPr="02615A84">
        <w:rPr>
          <w:rFonts w:ascii="Arial" w:eastAsia="Arial" w:hAnsi="Arial" w:cs="Arial"/>
          <w:color w:val="000000" w:themeColor="text1"/>
          <w:sz w:val="24"/>
          <w:szCs w:val="24"/>
        </w:rPr>
        <w:t xml:space="preserve"> </w:t>
      </w:r>
      <w:proofErr w:type="spellStart"/>
      <w:r w:rsidRPr="02615A84">
        <w:rPr>
          <w:rFonts w:ascii="Arial" w:eastAsia="Arial" w:hAnsi="Arial" w:cs="Arial"/>
          <w:color w:val="000000" w:themeColor="text1"/>
          <w:sz w:val="24"/>
          <w:szCs w:val="24"/>
        </w:rPr>
        <w:t>T</w:t>
      </w:r>
      <w:r w:rsidRPr="02615A84">
        <w:rPr>
          <w:rFonts w:ascii="Arial" w:eastAsia="Arial" w:hAnsi="Arial" w:cs="Arial"/>
          <w:color w:val="000000" w:themeColor="text1"/>
          <w:sz w:val="24"/>
          <w:szCs w:val="24"/>
          <w:vertAlign w:val="subscript"/>
        </w:rPr>
        <w:t>arch</w:t>
      </w:r>
      <w:proofErr w:type="spellEnd"/>
      <w:r w:rsidRPr="02615A84">
        <w:rPr>
          <w:rFonts w:ascii="Arial" w:eastAsia="Arial" w:hAnsi="Arial" w:cs="Arial"/>
          <w:color w:val="000000" w:themeColor="text1"/>
          <w:sz w:val="24"/>
          <w:szCs w:val="24"/>
          <w:vertAlign w:val="subscript"/>
        </w:rPr>
        <w:t xml:space="preserve">; </w:t>
      </w:r>
      <w:r w:rsidRPr="02615A84">
        <w:rPr>
          <w:rFonts w:ascii="Arial" w:eastAsia="Arial" w:hAnsi="Arial" w:cs="Arial"/>
          <w:color w:val="000000" w:themeColor="text1"/>
          <w:sz w:val="24"/>
          <w:szCs w:val="24"/>
        </w:rPr>
        <w:t>seconds).</w:t>
      </w:r>
    </w:p>
    <w:p w14:paraId="043F3006" w14:textId="77777777"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t xml:space="preserve">Ex vivo aortic stiffness with knockdown of target genes </w:t>
      </w:r>
    </w:p>
    <w:p w14:paraId="07220BE8" w14:textId="7A6ED6C6" w:rsidR="277E52C9" w:rsidRPr="00C42BF6" w:rsidRDefault="277E52C9" w:rsidP="00FF30AE">
      <w:pPr>
        <w:spacing w:line="480" w:lineRule="auto"/>
        <w:ind w:firstLine="720"/>
        <w:rPr>
          <w:rFonts w:ascii="Arial" w:eastAsia="Arial" w:hAnsi="Arial" w:cs="Arial"/>
          <w:color w:val="000000"/>
          <w:sz w:val="24"/>
          <w:szCs w:val="24"/>
        </w:rPr>
      </w:pPr>
      <w:r w:rsidRPr="00C42BF6">
        <w:rPr>
          <w:rFonts w:ascii="Arial" w:eastAsia="Arial" w:hAnsi="Arial" w:cs="Arial"/>
          <w:color w:val="000000"/>
          <w:sz w:val="24"/>
          <w:szCs w:val="24"/>
        </w:rPr>
        <w:lastRenderedPageBreak/>
        <w:t xml:space="preserve">For knockdown of </w:t>
      </w:r>
      <w:r w:rsidR="00232A67" w:rsidRPr="00C42BF6">
        <w:rPr>
          <w:rFonts w:ascii="Arial" w:eastAsia="Arial" w:hAnsi="Arial" w:cs="Arial"/>
          <w:color w:val="000000"/>
          <w:sz w:val="24"/>
          <w:szCs w:val="24"/>
        </w:rPr>
        <w:t>E</w:t>
      </w:r>
      <w:r w:rsidR="00C635F7">
        <w:rPr>
          <w:rFonts w:ascii="Arial" w:eastAsia="Arial" w:hAnsi="Arial" w:cs="Arial"/>
          <w:color w:val="000000"/>
          <w:sz w:val="24"/>
          <w:szCs w:val="24"/>
        </w:rPr>
        <w:t>gr</w:t>
      </w:r>
      <w:r w:rsidR="00232A67" w:rsidRPr="00C42BF6">
        <w:rPr>
          <w:rFonts w:ascii="Arial" w:eastAsia="Arial" w:hAnsi="Arial" w:cs="Arial"/>
          <w:color w:val="000000"/>
          <w:sz w:val="24"/>
          <w:szCs w:val="24"/>
        </w:rPr>
        <w:t>-1</w:t>
      </w:r>
      <w:r w:rsidRPr="00C42BF6">
        <w:rPr>
          <w:rFonts w:ascii="Arial" w:eastAsia="Arial" w:hAnsi="Arial" w:cs="Arial"/>
          <w:color w:val="000000"/>
          <w:sz w:val="24"/>
          <w:szCs w:val="24"/>
        </w:rPr>
        <w:t xml:space="preserve">, a solution was prepared containing Opti-MEM media, </w:t>
      </w:r>
      <w:r w:rsidR="00B601D4" w:rsidRPr="00C42BF6">
        <w:rPr>
          <w:rFonts w:ascii="Arial" w:eastAsia="Arial" w:hAnsi="Arial" w:cs="Arial"/>
          <w:color w:val="000000"/>
          <w:sz w:val="24"/>
          <w:szCs w:val="24"/>
        </w:rPr>
        <w:t xml:space="preserve">1% serum obtained from the same mouse, and </w:t>
      </w:r>
      <w:r w:rsidRPr="00C42BF6">
        <w:rPr>
          <w:rFonts w:ascii="Arial" w:eastAsia="Arial" w:hAnsi="Arial" w:cs="Arial"/>
          <w:color w:val="000000"/>
          <w:sz w:val="24"/>
          <w:szCs w:val="24"/>
        </w:rPr>
        <w:t xml:space="preserve">either </w:t>
      </w:r>
      <w:r w:rsidR="00232A67" w:rsidRPr="00C42BF6">
        <w:rPr>
          <w:rFonts w:ascii="Arial" w:eastAsia="Arial" w:hAnsi="Arial" w:cs="Arial"/>
          <w:color w:val="000000"/>
          <w:sz w:val="24"/>
          <w:szCs w:val="24"/>
        </w:rPr>
        <w:t>E</w:t>
      </w:r>
      <w:r w:rsidR="00C635F7">
        <w:rPr>
          <w:rFonts w:ascii="Arial" w:eastAsia="Arial" w:hAnsi="Arial" w:cs="Arial"/>
          <w:color w:val="000000"/>
          <w:sz w:val="24"/>
          <w:szCs w:val="24"/>
        </w:rPr>
        <w:t>gr</w:t>
      </w:r>
      <w:r w:rsidR="00232A67" w:rsidRPr="00C42BF6">
        <w:rPr>
          <w:rFonts w:ascii="Arial" w:eastAsia="Arial" w:hAnsi="Arial" w:cs="Arial"/>
          <w:color w:val="000000"/>
          <w:sz w:val="24"/>
          <w:szCs w:val="24"/>
        </w:rPr>
        <w:t xml:space="preserve">-1 </w:t>
      </w:r>
      <w:r w:rsidRPr="00C42BF6">
        <w:rPr>
          <w:rFonts w:ascii="Arial" w:eastAsia="Arial" w:hAnsi="Arial" w:cs="Arial"/>
          <w:color w:val="000000"/>
          <w:sz w:val="24"/>
          <w:szCs w:val="24"/>
        </w:rPr>
        <w:t xml:space="preserve">siRNA or the control scrambled oligonucleotide (reconstituted in 5x siRNA buffer) at a final concentration of </w:t>
      </w:r>
      <w:r w:rsidR="00232A67" w:rsidRPr="00C42BF6">
        <w:rPr>
          <w:rFonts w:ascii="Arial" w:eastAsia="Arial" w:hAnsi="Arial" w:cs="Arial"/>
          <w:color w:val="000000"/>
          <w:sz w:val="24"/>
          <w:szCs w:val="24"/>
        </w:rPr>
        <w:t>4</w:t>
      </w:r>
      <w:r w:rsidRPr="00C42BF6">
        <w:rPr>
          <w:rFonts w:ascii="Arial" w:eastAsia="Arial" w:hAnsi="Arial" w:cs="Arial"/>
          <w:color w:val="000000"/>
          <w:sz w:val="24"/>
          <w:szCs w:val="24"/>
        </w:rPr>
        <w:t>0</w:t>
      </w:r>
      <w:r w:rsidR="00AB0D4C" w:rsidRPr="00C42BF6">
        <w:rPr>
          <w:rFonts w:ascii="Arial" w:eastAsia="Arial" w:hAnsi="Arial" w:cs="Arial"/>
          <w:color w:val="000000"/>
          <w:sz w:val="24"/>
          <w:szCs w:val="24"/>
        </w:rPr>
        <w:t xml:space="preserve"> </w:t>
      </w:r>
      <w:proofErr w:type="spellStart"/>
      <w:r w:rsidRPr="00C42BF6">
        <w:rPr>
          <w:rFonts w:ascii="Arial" w:eastAsia="Arial" w:hAnsi="Arial" w:cs="Arial"/>
          <w:color w:val="000000"/>
          <w:sz w:val="24"/>
          <w:szCs w:val="24"/>
        </w:rPr>
        <w:t>nM</w:t>
      </w:r>
      <w:proofErr w:type="spellEnd"/>
      <w:r w:rsidRPr="00C42BF6">
        <w:rPr>
          <w:rFonts w:ascii="Arial" w:eastAsia="Arial" w:hAnsi="Arial" w:cs="Arial"/>
          <w:color w:val="000000"/>
          <w:sz w:val="24"/>
          <w:szCs w:val="24"/>
        </w:rPr>
        <w:t>,</w:t>
      </w:r>
      <w:r w:rsidR="00232A67" w:rsidRPr="00C42BF6">
        <w:rPr>
          <w:rFonts w:ascii="Arial" w:eastAsia="Arial" w:hAnsi="Arial" w:cs="Arial"/>
          <w:color w:val="000000"/>
          <w:sz w:val="24"/>
          <w:szCs w:val="24"/>
        </w:rPr>
        <w:t xml:space="preserve"> 1.56 µL/ml of Lipofectamine 3000</w:t>
      </w:r>
      <w:r w:rsidRPr="00C42BF6">
        <w:rPr>
          <w:rFonts w:ascii="Arial" w:eastAsia="Arial" w:hAnsi="Arial" w:cs="Arial"/>
          <w:color w:val="000000"/>
          <w:sz w:val="24"/>
          <w:szCs w:val="24"/>
        </w:rPr>
        <w:t xml:space="preserve">, i.e., the exact same solution as described for carotid artery culturing described above. This was injected into the lumen of the thoracic aorta (segmented as described in the main text methods), which was tied on both ends to maintain the solution </w:t>
      </w:r>
      <w:proofErr w:type="spellStart"/>
      <w:r w:rsidRPr="00C42BF6">
        <w:rPr>
          <w:rFonts w:ascii="Arial" w:eastAsia="Arial" w:hAnsi="Arial" w:cs="Arial"/>
          <w:color w:val="000000"/>
          <w:sz w:val="24"/>
          <w:szCs w:val="24"/>
        </w:rPr>
        <w:t>intraluminally</w:t>
      </w:r>
      <w:proofErr w:type="spellEnd"/>
      <w:r w:rsidRPr="00C42BF6">
        <w:rPr>
          <w:rFonts w:ascii="Arial" w:eastAsia="Arial" w:hAnsi="Arial" w:cs="Arial"/>
          <w:color w:val="000000"/>
          <w:sz w:val="24"/>
          <w:szCs w:val="24"/>
        </w:rPr>
        <w:t xml:space="preserve">. The aorta sections were then incubated in Dulbecco's Modified Eagle Medium (DMEM; </w:t>
      </w:r>
      <w:proofErr w:type="spellStart"/>
      <w:r w:rsidRPr="00C42BF6">
        <w:rPr>
          <w:rFonts w:ascii="Arial" w:eastAsia="Arial" w:hAnsi="Arial" w:cs="Arial"/>
          <w:color w:val="000000"/>
          <w:sz w:val="24"/>
          <w:szCs w:val="24"/>
        </w:rPr>
        <w:t>ThermoFisher</w:t>
      </w:r>
      <w:proofErr w:type="spellEnd"/>
      <w:r w:rsidRPr="00C42BF6">
        <w:rPr>
          <w:rFonts w:ascii="Arial" w:eastAsia="Arial" w:hAnsi="Arial" w:cs="Arial"/>
          <w:color w:val="000000"/>
          <w:sz w:val="24"/>
          <w:szCs w:val="24"/>
        </w:rPr>
        <w:t xml:space="preserve"> Scientific) containing 10% FCS and 1% penicillin/streptomycin for </w:t>
      </w:r>
      <w:r w:rsidR="00232A67" w:rsidRPr="00C42BF6">
        <w:rPr>
          <w:rFonts w:ascii="Arial" w:eastAsia="Arial" w:hAnsi="Arial" w:cs="Arial"/>
          <w:color w:val="000000"/>
          <w:sz w:val="24"/>
          <w:szCs w:val="24"/>
        </w:rPr>
        <w:t>2</w:t>
      </w:r>
      <w:r w:rsidRPr="00C42BF6">
        <w:rPr>
          <w:rFonts w:ascii="Arial" w:eastAsia="Arial" w:hAnsi="Arial" w:cs="Arial"/>
          <w:color w:val="000000"/>
          <w:sz w:val="24"/>
          <w:szCs w:val="24"/>
        </w:rPr>
        <w:t>4 hours. Following the incubation period, the tied ends of the aorta were removed and</w:t>
      </w:r>
      <w:r w:rsidR="00FB7B5C" w:rsidRPr="00C42BF6">
        <w:rPr>
          <w:rFonts w:ascii="Arial" w:eastAsia="Arial" w:hAnsi="Arial" w:cs="Arial"/>
          <w:color w:val="000000"/>
          <w:sz w:val="24"/>
          <w:szCs w:val="24"/>
        </w:rPr>
        <w:t xml:space="preserve"> the center piece was</w:t>
      </w:r>
      <w:r w:rsidRPr="00C42BF6">
        <w:rPr>
          <w:rFonts w:ascii="Arial" w:eastAsia="Arial" w:hAnsi="Arial" w:cs="Arial"/>
          <w:color w:val="000000"/>
          <w:sz w:val="24"/>
          <w:szCs w:val="24"/>
        </w:rPr>
        <w:t xml:space="preserve"> </w:t>
      </w:r>
      <w:r w:rsidR="00FB7B5C" w:rsidRPr="00C42BF6">
        <w:rPr>
          <w:rFonts w:ascii="Arial" w:eastAsia="Arial" w:hAnsi="Arial" w:cs="Arial"/>
          <w:color w:val="000000"/>
          <w:sz w:val="24"/>
          <w:szCs w:val="24"/>
        </w:rPr>
        <w:t>either</w:t>
      </w:r>
      <w:r w:rsidRPr="00C42BF6">
        <w:rPr>
          <w:rFonts w:ascii="Arial" w:eastAsia="Arial" w:hAnsi="Arial" w:cs="Arial"/>
          <w:color w:val="000000"/>
          <w:sz w:val="24"/>
          <w:szCs w:val="24"/>
        </w:rPr>
        <w:t xml:space="preserve"> segmented</w:t>
      </w:r>
      <w:r w:rsidR="00FB7B5C" w:rsidRPr="00C42BF6">
        <w:rPr>
          <w:rFonts w:ascii="Arial" w:eastAsia="Arial" w:hAnsi="Arial" w:cs="Arial"/>
          <w:color w:val="000000"/>
          <w:sz w:val="24"/>
          <w:szCs w:val="24"/>
        </w:rPr>
        <w:t xml:space="preserve"> into</w:t>
      </w:r>
      <w:r w:rsidRPr="00C42BF6">
        <w:rPr>
          <w:rFonts w:ascii="Arial" w:eastAsia="Arial" w:hAnsi="Arial" w:cs="Arial"/>
          <w:color w:val="000000"/>
          <w:sz w:val="24"/>
          <w:szCs w:val="24"/>
        </w:rPr>
        <w:t xml:space="preserve"> ~1 mm sections</w:t>
      </w:r>
      <w:r w:rsidR="00FB7B5C" w:rsidRPr="00C42BF6">
        <w:rPr>
          <w:rFonts w:ascii="Arial" w:eastAsia="Arial" w:hAnsi="Arial" w:cs="Arial"/>
          <w:color w:val="000000"/>
          <w:sz w:val="24"/>
          <w:szCs w:val="24"/>
        </w:rPr>
        <w:t xml:space="preserve"> to determine </w:t>
      </w:r>
      <w:r w:rsidRPr="00C42BF6">
        <w:rPr>
          <w:rFonts w:ascii="Arial" w:eastAsia="Arial" w:hAnsi="Arial" w:cs="Arial"/>
          <w:color w:val="000000"/>
          <w:sz w:val="24"/>
          <w:szCs w:val="24"/>
        </w:rPr>
        <w:t xml:space="preserve">aortic elastic modulus </w:t>
      </w:r>
      <w:r w:rsidR="00FB7B5C" w:rsidRPr="00C42BF6">
        <w:rPr>
          <w:rFonts w:ascii="Arial" w:eastAsia="Arial" w:hAnsi="Arial" w:cs="Arial"/>
          <w:color w:val="000000"/>
          <w:sz w:val="24"/>
          <w:szCs w:val="24"/>
        </w:rPr>
        <w:t xml:space="preserve">or used </w:t>
      </w:r>
      <w:r w:rsidRPr="00C42BF6">
        <w:rPr>
          <w:rFonts w:ascii="Arial" w:eastAsia="Arial" w:hAnsi="Arial" w:cs="Arial"/>
          <w:color w:val="000000"/>
          <w:sz w:val="24"/>
          <w:szCs w:val="24"/>
        </w:rPr>
        <w:t>to determine knockdown of E</w:t>
      </w:r>
      <w:r w:rsidR="00C635F7">
        <w:rPr>
          <w:rFonts w:ascii="Arial" w:eastAsia="Arial" w:hAnsi="Arial" w:cs="Arial"/>
          <w:color w:val="000000"/>
          <w:sz w:val="24"/>
          <w:szCs w:val="24"/>
        </w:rPr>
        <w:t>gr</w:t>
      </w:r>
      <w:r w:rsidRPr="00C42BF6">
        <w:rPr>
          <w:rFonts w:ascii="Arial" w:eastAsia="Arial" w:hAnsi="Arial" w:cs="Arial"/>
          <w:color w:val="000000"/>
          <w:sz w:val="24"/>
          <w:szCs w:val="24"/>
        </w:rPr>
        <w:t>-1 (</w:t>
      </w:r>
      <w:r w:rsidRPr="00C42BF6">
        <w:rPr>
          <w:rFonts w:ascii="Arial" w:eastAsia="Arial" w:hAnsi="Arial" w:cs="Arial"/>
          <w:i/>
          <w:iCs/>
          <w:color w:val="000000"/>
          <w:sz w:val="24"/>
          <w:szCs w:val="24"/>
        </w:rPr>
        <w:t>EDD with knockdown of target genes - Validation of siRNA knockdown</w:t>
      </w:r>
      <w:r w:rsidRPr="00C42BF6">
        <w:rPr>
          <w:rFonts w:ascii="Arial" w:eastAsia="Arial" w:hAnsi="Arial" w:cs="Arial"/>
          <w:color w:val="000000"/>
          <w:sz w:val="24"/>
          <w:szCs w:val="24"/>
        </w:rPr>
        <w:t>).</w:t>
      </w:r>
    </w:p>
    <w:p w14:paraId="402F7FD3" w14:textId="77777777" w:rsidR="00602765" w:rsidRPr="00C42BF6" w:rsidRDefault="00602765" w:rsidP="00FF30AE">
      <w:pPr>
        <w:spacing w:line="480" w:lineRule="auto"/>
        <w:ind w:firstLine="720"/>
        <w:rPr>
          <w:rFonts w:ascii="Arial" w:eastAsia="Arial" w:hAnsi="Arial" w:cs="Arial"/>
          <w:color w:val="000000"/>
          <w:sz w:val="24"/>
          <w:szCs w:val="24"/>
        </w:rPr>
      </w:pPr>
      <w:r w:rsidRPr="00C42BF6">
        <w:rPr>
          <w:rFonts w:ascii="Arial" w:eastAsia="Arial" w:hAnsi="Arial" w:cs="Arial"/>
          <w:color w:val="000000"/>
          <w:sz w:val="24"/>
          <w:szCs w:val="24"/>
        </w:rPr>
        <w:t xml:space="preserve">Additional aorta sections were </w:t>
      </w:r>
      <w:r w:rsidR="00FB7B5C" w:rsidRPr="00C42BF6">
        <w:rPr>
          <w:rFonts w:ascii="Arial" w:eastAsia="Arial" w:hAnsi="Arial" w:cs="Arial"/>
          <w:color w:val="000000"/>
          <w:sz w:val="24"/>
          <w:szCs w:val="24"/>
        </w:rPr>
        <w:t>incubated</w:t>
      </w:r>
      <w:r w:rsidRPr="00C42BF6">
        <w:rPr>
          <w:rFonts w:ascii="Arial" w:eastAsia="Arial" w:hAnsi="Arial" w:cs="Arial"/>
          <w:color w:val="000000"/>
          <w:sz w:val="24"/>
          <w:szCs w:val="24"/>
        </w:rPr>
        <w:t xml:space="preserve"> under the same conditions except </w:t>
      </w:r>
      <w:r w:rsidR="00FB7B5C" w:rsidRPr="00C42BF6">
        <w:rPr>
          <w:rFonts w:ascii="Arial" w:eastAsia="Arial" w:hAnsi="Arial" w:cs="Arial"/>
          <w:color w:val="000000"/>
          <w:sz w:val="24"/>
          <w:szCs w:val="24"/>
        </w:rPr>
        <w:t xml:space="preserve">with </w:t>
      </w:r>
      <w:r w:rsidRPr="00C42BF6">
        <w:rPr>
          <w:rFonts w:ascii="Arial" w:eastAsia="Arial" w:hAnsi="Arial" w:cs="Arial"/>
          <w:color w:val="000000"/>
          <w:sz w:val="24"/>
          <w:szCs w:val="24"/>
        </w:rPr>
        <w:t>a different control scrambled oligonucleotide (</w:t>
      </w:r>
      <w:proofErr w:type="spellStart"/>
      <w:r w:rsidRPr="00C42BF6">
        <w:rPr>
          <w:rFonts w:ascii="Arial" w:eastAsia="Arial" w:hAnsi="Arial" w:cs="Arial"/>
          <w:color w:val="000000"/>
          <w:sz w:val="24"/>
          <w:szCs w:val="24"/>
        </w:rPr>
        <w:t>siGENOME</w:t>
      </w:r>
      <w:proofErr w:type="spellEnd"/>
      <w:r w:rsidRPr="00C42BF6">
        <w:rPr>
          <w:rFonts w:ascii="Arial" w:eastAsia="Arial" w:hAnsi="Arial" w:cs="Arial"/>
          <w:color w:val="000000"/>
          <w:sz w:val="24"/>
          <w:szCs w:val="24"/>
        </w:rPr>
        <w:t xml:space="preserve"> Non-Targeting Control siRNA, </w:t>
      </w:r>
      <w:proofErr w:type="spellStart"/>
      <w:r w:rsidRPr="00C42BF6">
        <w:rPr>
          <w:rFonts w:ascii="Arial" w:eastAsia="Arial" w:hAnsi="Arial" w:cs="Arial"/>
          <w:color w:val="000000"/>
          <w:sz w:val="24"/>
          <w:szCs w:val="24"/>
        </w:rPr>
        <w:t>Dharmacon</w:t>
      </w:r>
      <w:proofErr w:type="spellEnd"/>
      <w:r w:rsidRPr="00C42BF6">
        <w:rPr>
          <w:rFonts w:ascii="Arial" w:eastAsia="Arial" w:hAnsi="Arial" w:cs="Arial"/>
          <w:color w:val="000000"/>
          <w:sz w:val="24"/>
          <w:szCs w:val="24"/>
        </w:rPr>
        <w:t xml:space="preserve"> Reagents, Cat # D-001206-14-20) at a final concentration of 80nM</w:t>
      </w:r>
      <w:r w:rsidR="00FB7B5C" w:rsidRPr="00C42BF6">
        <w:rPr>
          <w:rFonts w:ascii="Arial" w:eastAsia="Arial" w:hAnsi="Arial" w:cs="Arial"/>
          <w:color w:val="000000"/>
          <w:sz w:val="24"/>
          <w:szCs w:val="24"/>
        </w:rPr>
        <w:t>,</w:t>
      </w:r>
      <w:r w:rsidRPr="00C42BF6">
        <w:rPr>
          <w:rFonts w:ascii="Arial" w:eastAsia="Arial" w:hAnsi="Arial" w:cs="Arial"/>
          <w:color w:val="000000"/>
          <w:sz w:val="24"/>
          <w:szCs w:val="24"/>
        </w:rPr>
        <w:t xml:space="preserve"> and for 48 hours. No transfection reagent was included in this solution, as </w:t>
      </w:r>
      <w:proofErr w:type="spellStart"/>
      <w:r w:rsidRPr="00C42BF6">
        <w:rPr>
          <w:rFonts w:ascii="Arial" w:eastAsia="Arial" w:hAnsi="Arial" w:cs="Arial"/>
          <w:color w:val="000000"/>
          <w:sz w:val="24"/>
          <w:szCs w:val="24"/>
        </w:rPr>
        <w:t>Dharmacon</w:t>
      </w:r>
      <w:proofErr w:type="spellEnd"/>
      <w:r w:rsidRPr="00C42BF6">
        <w:rPr>
          <w:rFonts w:ascii="Arial" w:eastAsia="Arial" w:hAnsi="Arial" w:cs="Arial"/>
          <w:color w:val="000000"/>
          <w:sz w:val="24"/>
          <w:szCs w:val="24"/>
        </w:rPr>
        <w:t xml:space="preserve"> </w:t>
      </w:r>
      <w:r w:rsidR="00565B53" w:rsidRPr="00C42BF6">
        <w:rPr>
          <w:rFonts w:ascii="Arial" w:eastAsia="Arial" w:hAnsi="Arial" w:cs="Arial"/>
          <w:color w:val="000000"/>
          <w:sz w:val="24"/>
          <w:szCs w:val="24"/>
        </w:rPr>
        <w:t xml:space="preserve">siRNA is </w:t>
      </w:r>
      <w:r w:rsidRPr="00C42BF6">
        <w:rPr>
          <w:rFonts w:ascii="Arial" w:eastAsia="Arial" w:hAnsi="Arial" w:cs="Arial"/>
          <w:color w:val="000000"/>
          <w:sz w:val="24"/>
          <w:szCs w:val="24"/>
        </w:rPr>
        <w:t>engineer</w:t>
      </w:r>
      <w:r w:rsidR="00565B53" w:rsidRPr="00C42BF6">
        <w:rPr>
          <w:rFonts w:ascii="Arial" w:eastAsia="Arial" w:hAnsi="Arial" w:cs="Arial"/>
          <w:color w:val="000000"/>
          <w:sz w:val="24"/>
          <w:szCs w:val="24"/>
        </w:rPr>
        <w:t>ed</w:t>
      </w:r>
      <w:r w:rsidRPr="00C42BF6">
        <w:rPr>
          <w:rFonts w:ascii="Arial" w:eastAsia="Arial" w:hAnsi="Arial" w:cs="Arial"/>
          <w:color w:val="000000"/>
          <w:sz w:val="24"/>
          <w:szCs w:val="24"/>
        </w:rPr>
        <w:t xml:space="preserve"> to enter cells without </w:t>
      </w:r>
      <w:r w:rsidR="00565B53" w:rsidRPr="00C42BF6">
        <w:rPr>
          <w:rFonts w:ascii="Arial" w:eastAsia="Arial" w:hAnsi="Arial" w:cs="Arial"/>
          <w:color w:val="000000"/>
          <w:sz w:val="24"/>
          <w:szCs w:val="24"/>
        </w:rPr>
        <w:t>the addition of lipofectamine</w:t>
      </w:r>
      <w:r w:rsidRPr="00C42BF6">
        <w:rPr>
          <w:rFonts w:ascii="Arial" w:eastAsia="Arial" w:hAnsi="Arial" w:cs="Arial"/>
          <w:color w:val="000000"/>
          <w:sz w:val="24"/>
          <w:szCs w:val="24"/>
        </w:rPr>
        <w:t xml:space="preserve">. These experimental conditions were used in attempt to assess the role of another target gene (free fatty acid receptor 3, FFAR3) in mediating the effects of our interventions, but we did not include the data </w:t>
      </w:r>
      <w:r w:rsidR="008045FE" w:rsidRPr="00C42BF6">
        <w:rPr>
          <w:rFonts w:ascii="Arial" w:eastAsia="Arial" w:hAnsi="Arial" w:cs="Arial"/>
          <w:color w:val="000000"/>
          <w:sz w:val="24"/>
          <w:szCs w:val="24"/>
        </w:rPr>
        <w:t xml:space="preserve">for the experimental condition, </w:t>
      </w:r>
      <w:r w:rsidRPr="00C42BF6">
        <w:rPr>
          <w:rFonts w:ascii="Arial" w:eastAsia="Arial" w:hAnsi="Arial" w:cs="Arial"/>
          <w:color w:val="000000"/>
          <w:sz w:val="24"/>
          <w:szCs w:val="24"/>
        </w:rPr>
        <w:t>as we were unable to confirm knockdown of FFAR3.</w:t>
      </w:r>
    </w:p>
    <w:p w14:paraId="7947927F" w14:textId="3487D09E" w:rsidR="2EBACE1F" w:rsidRPr="00C42BF6" w:rsidRDefault="2EBACE1F"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 xml:space="preserve">These duplicate segments were used to assess aortic elastic modulus via pin (force) myography (DMT620M, Inc., </w:t>
      </w:r>
      <w:proofErr w:type="spellStart"/>
      <w:r w:rsidRPr="00C42BF6">
        <w:rPr>
          <w:rFonts w:ascii="Arial" w:eastAsia="Arial" w:hAnsi="Arial" w:cs="Arial"/>
          <w:color w:val="000000"/>
          <w:sz w:val="24"/>
          <w:szCs w:val="24"/>
        </w:rPr>
        <w:t>Arhaus</w:t>
      </w:r>
      <w:proofErr w:type="spellEnd"/>
      <w:r w:rsidRPr="00C42BF6">
        <w:rPr>
          <w:rFonts w:ascii="Arial" w:eastAsia="Arial" w:hAnsi="Arial" w:cs="Arial"/>
          <w:color w:val="000000"/>
          <w:sz w:val="24"/>
          <w:szCs w:val="24"/>
        </w:rPr>
        <w:t>, Denmark)</w:t>
      </w:r>
      <w:r w:rsidR="002F24C7" w:rsidRPr="00C42BF6">
        <w:rPr>
          <w:rFonts w:ascii="Arial" w:eastAsia="Arial" w:hAnsi="Arial" w:cs="Arial"/>
          <w:color w:val="000000"/>
          <w:sz w:val="24"/>
          <w:szCs w:val="24"/>
        </w:rPr>
        <w:fldChar w:fldCharType="begin"/>
      </w:r>
      <w:r w:rsidR="00F80CF1">
        <w:rPr>
          <w:rFonts w:ascii="Arial" w:eastAsia="Arial" w:hAnsi="Arial" w:cs="Arial"/>
          <w:color w:val="000000"/>
          <w:sz w:val="24"/>
          <w:szCs w:val="24"/>
        </w:rPr>
        <w:instrText xml:space="preserve"> ADDIN ZOTERO_ITEM CSL_CITATION {"citationID":"Rkx3qct5","properties":{"formattedCitation":"\\super 21\\uc0\\u8211{}23\\nosupersub{}","plainCitation":"21–23","noteIndex":0},"citationItems":[{"id":2795,"uris":["http://zotero.org/users/local/6BakpO76/items/IULDNR9J"],"itemData":{"id":2795,"type":"article-journal","abstract":"The aorta stiffens with aging in both men and women, which predicts cardiovascular mortality. Aortic wall structural and extracellular matrix (ECM) remodeling, induced in part by chronic low-grade inflammation, contribute to aortic stiffening. Male mice are an established model of aortic aging. However, there is little information regarding whether female mice are an appropriate model of aortic aging in women, which we aimed to elucidate in the present study. We assessed two strains of mice and found that in C57BL/6N mice, in vivo aortic stiffness (pulse wave velocity, PWV) was higher with aging in both sexes, whereas in B6D2F1 mice, PWV was higher in old versus young male mice, but not in old versus young female mice. Because the age-related stiffening that occurs in men and women was reflected in male and female C57BL/6N mice, we examined the mechanisms of stiffening in this strain. In both sexes, aortic modulus of elasticity (pin myography) was lower in old mice, occurred in conjunction with and was related to higher plasma levels of the elastin-degrading enzyme matrix metalloproteinase-9 (MMP-9), and was accompanied by higher numbers of aortic elastin breaks and higher abundance of adventitial collagen-1. Plasma levels of the inflammatory cytokines interferon-γ, interleukin 6, and monocyte chemoattractant protein-1 were higher in both sexes of old mice. In conclusion, female C57BL/6N mice exhibit aortic stiffening, reduced modulus of elasticity and structural/ECM remodeling, and associated increases in MMP-9 and systemic inflammation with aging, and thus are an appropriate model of aortic aging in women.NEW &amp; NOTEWORTHY Our study demonstrates that with aging, female C57BL/6N mice exhibit higher in vivo aortic stiffness, reduced modulus of elasticity, aortic wall structural and extracellular matrix remodeling, and elevations in systemic inflammation. These changes are largely reflective of those that occur with aging in women. Thus, female C57BL/6N mice are a viable model of human aortic aging and the utility of these animals should be considered in future biomedical investigations.","container-title":"American Journal of Physiology. Heart and Circulatory Physiology","DOI":"10.1152/ajpheart.00120.2023","ISSN":"1522-1539","issue":"6","journalAbbreviation":"Am J Physiol Heart Circ Physiol","language":"eng","note":"PMID: 37115626\nPMCID: PMC10202480","page":"H893-H904","source":"PubMed","title":"Female C57BL/6N mice are a viable model of aortic aging in women","volume":"324","author":[{"family":"Longtine","given":"Abigail G."},{"family":"Venkatasubramanian","given":"Ravinandan"},{"family":"Zigler","given":"Melanie C."},{"family":"Lindquist","given":"Alexandra J."},{"family":"Mahoney","given":"Sophia A."},{"family":"Greenberg","given":"Nathan T."},{"family":"VanDongen","given":"Nicholas S."},{"family":"Ludwig","given":"Katelyn R."},{"family":"Moreau","given":"Kerrie L."},{"family":"Seals","given":"Douglas R."},{"family":"Clayton","given":"Zachary S."}],"issued":{"date-parts":[["2023",6,1]]}}},{"id":485,"uris":["http://zotero.org/users/local/6BakpO76/items/MNHVZI6K"],"itemData":{"id":485,"type":"article-journal","abstract":"Extracellular matrix remodeling has been proposed as one mechanism by which proximal pulmonary arteries stiffen during pulmonary arterial hypertension (PAH). Although some attention has been paid to the role of collagen and metallomatrix proteins in affecting vascular stiffness, much less work has been performed on changes in elastin structure-function relationships in PAH. Such work is warranted, given the importance of elastin as the structural protein primarily responsible for the passive elastic behavior of these conduit arteries. Here, we study structure-function relationships of fresh arterial tissue and purified arterial elastin from the main, left, and right pulmonary artery branches of normotensive and hypoxia-induced pulmonary hypertensive neonatal calves. PAH resulted in an average 81 and 72% increase in stiffness of fresh and digested tissue, respectively. Increase in stiffness appears most attributable to elevated elastic modulus, which increased 46 and 65%, respectively, for fresh and digested tissue. Comparison between fresh and digested tissues shows that, at 35% strain, a minimum of 48% of the arterial load is carried by elastin, and a minimum of 43% of the change in stiffness of arterial tissue is due to the change in elastin stiffness. Analysis of the stress-strain behavior revealed that PAH causes an increase in the strains associated with the physiological pressure range but had no effect on the strain of transition from elastin-dominant to collagen-dominant behavior. These results indicate that mechanobiological adaptations of the continuum and geometric properties of elastin, in response to PAH, significantly elevate the circumferential stiffness of proximal pulmonary arterial tissue.","container-title":"American Journal of Physiology. Heart and Circulatory Physiology","DOI":"10.1152/ajpheart.00127.2008","ISSN":"0363-6135","issue":"4","journalAbbreviation":"Am J Physiol Heart Circ Physiol","language":"eng","note":"PMID: 18660454\nPMCID: PMC2593497","page":"H1451-1459","source":"PubMed","title":"Changes in the structure-function relationship of elastin and its impact on the proximal pulmonary arterial mechanics of hypertensive calves","volume":"295","author":[{"family":"Lammers","given":"Steven R."},{"family":"Kao","given":"Phil H."},{"family":"Qi","given":"H. Jerry"},{"family":"Hunter","given":"Kendall"},{"family":"Lanning","given":"Craig"},{"family":"Albietz","given":"Joseph"},{"family":"Hofmeister","given":"Stephen"},{"family":"Mecham","given":"Robert"},{"family":"Stenmark","given":"Kurt R."},{"family":"Shandas","given":"Robin"}],"issued":{"date-parts":[["2008",10]]}}},{"id":785,"uris":["http://zotero.org/users/local/6BakpO76/items/WK8J7754"],"itemData":{"id":785,"type":"article-journal","abstract":"We assessed the efficacy of oral supplementation with the flavanoid apigenin on arterial function during aging and identified critical mechanisms of action. Young (6 mo) and old (27 mo) C57BL/6N mice (model of arterial aging) consumed drinking water containing vehicle (0.2% carboxymethylcellulose; 10 young and 7 old) or apigenin (0.5 mg/mL in vehicle; 10 young and 9 old) for 6 wk. In vehicle-treated animals, isolated carotid artery endothelium-dependent dilation (EDD), bioassay of endothelial function, was impaired in old versus young (70% ± 9% vs. 92% ± 1%, P &lt; 0.0001) due to reduced nitric oxide (NO) bioavailability. Old mice had greater arterial reactive oxygen species (ROS) production and oxidative stress (higher nitrotyrosine) associated with greater nicotinamide adenine dinucleotide phosphate oxidase (oxidant enzyme) and lower superoxide dismutase 1 and 2 (antioxidant enzymes); ex vivo administration of Tempol (antioxidant) restored EDD to young levels, indicating ROS-mediated suppression of EDD. Old animals also had greater aortic stiffness as indicated by higher aortic pulse wave velocity (PWV, 434 ± 9 vs. 346 ± 5 cm/s, P &lt; 0.0001) due to greater intrinsic aortic wall stiffness associated with lower elastin levels and higher collagen, advanced glycation end products (AGEs), and proinflammatory cytokine abundance. In old mice, apigenin restored EDD (96% ± 2%) by increasing NO bioavailability, normalized arterial ROS, oxidative stress, and antioxidant expression, and abolished ROS inhibition of EDD. Moreover, apigenin prevented foam cell formation in vitro (initiating step in atherosclerosis) and mitigated age-associated aortic stiffening (PWV 373 ± 5 cm/s) by normalizing aortic intrinsic wall stiffness, collagen, elastin, AGEs, and inflammation. Thus, apigenin is a promising therapeutic for arterial aging.NEW &amp; NOTEWORTHY Our study provides novel evidence that oral apigenin supplementation can reverse two clinically important indicators of arterial dysfunction with age, namely, vascular endothelial dysfunction and large elastic artery stiffening, and prevents foam cell formation in an established cell culture model of early atherosclerosis. Importantly, our results provide extensive insight into the biological mechanisms of apigenin action, including increased nitric oxide bioavailability, normalization of age-related increases in arterial ROS production and oxidative stress, reversal of age-associated aortic intrinsic mechanical wall stiffening and adverse remodeling of the extracellular matrix, and suppression of vascular inflammation. Given that apigenin is commercially available as a dietary supplement in humans, these preclinical findings provide the experimental basis for future translational studies assessing the potential of apigenin to treat arterial dysfunction and reduce cardiovascular disease risk with aging.","container-title":"American Journal of Physiology. Heart and Circulatory Physiology","DOI":"10.1152/ajpheart.00118.2021","ISSN":"1522-1539","issue":"1","journalAbbreviation":"Am J Physiol Heart Circ Physiol","language":"eng","note":"PMID: 34114892","page":"H185-H196","source":"PubMed","title":"Apigenin restores endothelial function by ameliorating oxidative stress, reverses aortic stiffening, and mitigates vascular inflammation with aging","volume":"321","author":[{"family":"Clayton","given":"Zachary S."},{"family":"Hutton","given":"David A."},{"family":"Brunt","given":"Vienna E."},{"family":"VanDongen","given":"Nicholas S."},{"family":"Ziemba","given":"Brian P."},{"family":"Casso","given":"Abigail G."},{"family":"Greenberg","given":"Nathan T."},{"family":"Mercer","given":"Amanda N."},{"family":"Rossman","given":"Matthew J."},{"family":"Campisi","given":"Judith"},{"family":"Melov","given":"Simon"},{"family":"Seals","given":"Douglas R."}],"issued":{"date-parts":[["2021",7,1]]}}}],"schema":"https://github.com/citation-style-language/schema/raw/master/csl-citation.json"} </w:instrText>
      </w:r>
      <w:r w:rsidR="002F24C7" w:rsidRPr="00C42BF6">
        <w:rPr>
          <w:rFonts w:ascii="Arial" w:eastAsia="Arial" w:hAnsi="Arial" w:cs="Arial"/>
          <w:color w:val="000000"/>
          <w:sz w:val="24"/>
          <w:szCs w:val="24"/>
        </w:rPr>
        <w:fldChar w:fldCharType="separate"/>
      </w:r>
      <w:r w:rsidR="00F80CF1" w:rsidRPr="00F80CF1">
        <w:rPr>
          <w:rFonts w:ascii="Arial" w:hAnsi="Arial" w:cs="Arial"/>
          <w:color w:val="000000"/>
          <w:sz w:val="24"/>
          <w:vertAlign w:val="superscript"/>
        </w:rPr>
        <w:t>21–23</w:t>
      </w:r>
      <w:r w:rsidR="002F24C7"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Aorta rings were mounted </w:t>
      </w:r>
      <w:r w:rsidRPr="00C42BF6">
        <w:rPr>
          <w:rFonts w:ascii="Arial" w:eastAsia="Arial" w:hAnsi="Arial" w:cs="Arial"/>
          <w:color w:val="000000"/>
          <w:sz w:val="24"/>
          <w:szCs w:val="24"/>
        </w:rPr>
        <w:lastRenderedPageBreak/>
        <w:t xml:space="preserve">onto two pins in a warm (37°C) </w:t>
      </w:r>
      <w:r w:rsidR="00E02613">
        <w:rPr>
          <w:rFonts w:ascii="Arial" w:eastAsia="Arial" w:hAnsi="Arial" w:cs="Arial"/>
          <w:color w:val="000000"/>
          <w:sz w:val="24"/>
          <w:szCs w:val="24"/>
        </w:rPr>
        <w:t>Ca</w:t>
      </w:r>
      <w:r w:rsidR="00E02613" w:rsidRPr="00B4715D">
        <w:rPr>
          <w:rFonts w:ascii="Arial" w:eastAsia="Arial" w:hAnsi="Arial" w:cs="Arial"/>
          <w:color w:val="000000"/>
          <w:sz w:val="24"/>
          <w:szCs w:val="24"/>
          <w:vertAlign w:val="superscript"/>
        </w:rPr>
        <w:t>2+</w:t>
      </w:r>
      <w:r w:rsidR="00E02613">
        <w:rPr>
          <w:rFonts w:ascii="Arial" w:eastAsia="Arial" w:hAnsi="Arial" w:cs="Arial"/>
          <w:color w:val="000000"/>
          <w:sz w:val="24"/>
          <w:szCs w:val="24"/>
        </w:rPr>
        <w:t xml:space="preserve">-free </w:t>
      </w:r>
      <w:r w:rsidRPr="00C42BF6">
        <w:rPr>
          <w:rFonts w:ascii="Arial" w:eastAsia="Arial" w:hAnsi="Arial" w:cs="Arial"/>
          <w:color w:val="000000"/>
          <w:sz w:val="24"/>
          <w:szCs w:val="24"/>
        </w:rPr>
        <w:t>phosphate-buffered saline (PBS) bath</w:t>
      </w:r>
      <w:r w:rsidR="00E02613">
        <w:rPr>
          <w:rFonts w:ascii="Arial" w:eastAsia="Arial" w:hAnsi="Arial" w:cs="Arial"/>
          <w:color w:val="000000"/>
          <w:sz w:val="24"/>
          <w:szCs w:val="24"/>
        </w:rPr>
        <w:t>, i.e., stiffness was assessed under passive (no active VSMC contraction) conditions and thus isolated structural component of arterial stiffness</w:t>
      </w:r>
      <w:r w:rsidRPr="00C42BF6">
        <w:rPr>
          <w:rFonts w:ascii="Arial" w:eastAsia="Arial" w:hAnsi="Arial" w:cs="Arial"/>
          <w:color w:val="000000"/>
          <w:sz w:val="24"/>
          <w:szCs w:val="24"/>
        </w:rPr>
        <w:t xml:space="preserve">. Three rounds of pre-stretching (pins displaced to 1 mm) were performed, and the aortic diameter was increased until a force of 1mN was reached. Subsequently, the pins were incrementally displaced by 50 </w:t>
      </w:r>
      <w:proofErr w:type="spellStart"/>
      <w:r w:rsidRPr="00C42BF6">
        <w:rPr>
          <w:rFonts w:ascii="Arial" w:eastAsia="Arial" w:hAnsi="Arial" w:cs="Arial"/>
          <w:color w:val="000000"/>
          <w:sz w:val="24"/>
          <w:szCs w:val="24"/>
        </w:rPr>
        <w:t>μm</w:t>
      </w:r>
      <w:proofErr w:type="spellEnd"/>
      <w:r w:rsidRPr="00C42BF6">
        <w:rPr>
          <w:rFonts w:ascii="Arial" w:eastAsia="Arial" w:hAnsi="Arial" w:cs="Arial"/>
          <w:color w:val="000000"/>
          <w:sz w:val="24"/>
          <w:szCs w:val="24"/>
        </w:rPr>
        <w:t xml:space="preserve"> every three minutes until the vessel reached mechanical failure (i.e., a sudden drop in force). The force corresponding to each stretching interval was recorded and used to calculate stress and strain and to construct a stress-strain curve: </w:t>
      </w:r>
    </w:p>
    <w:p w14:paraId="49CC11F7" w14:textId="77777777" w:rsidR="2EBACE1F" w:rsidRPr="00C42BF6" w:rsidRDefault="2EBACE1F" w:rsidP="00FF30AE">
      <w:pPr>
        <w:spacing w:line="480" w:lineRule="auto"/>
        <w:ind w:firstLine="720"/>
        <w:rPr>
          <w:rFonts w:ascii="Arial" w:eastAsia="Arial" w:hAnsi="Arial" w:cs="Arial"/>
          <w:color w:val="000000"/>
          <w:sz w:val="24"/>
          <w:szCs w:val="24"/>
        </w:rPr>
      </w:pPr>
    </w:p>
    <w:p w14:paraId="34DA0613" w14:textId="77777777"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 xml:space="preserve">Strain </w:t>
      </w:r>
      <w:r w:rsidRPr="00C42BF6">
        <w:rPr>
          <w:rFonts w:ascii="Arial" w:eastAsia="Arial" w:hAnsi="Arial" w:cs="Arial"/>
          <w:i/>
          <w:iCs/>
          <w:color w:val="000000"/>
          <w:sz w:val="24"/>
          <w:szCs w:val="24"/>
        </w:rPr>
        <w:t>(λ)</w:t>
      </w:r>
      <w:r w:rsidRPr="00C42BF6">
        <w:rPr>
          <w:rFonts w:ascii="Arial" w:eastAsia="Arial" w:hAnsi="Arial" w:cs="Arial"/>
          <w:color w:val="000000"/>
          <w:sz w:val="24"/>
          <w:szCs w:val="24"/>
        </w:rPr>
        <w:t xml:space="preserve"> = </w:t>
      </w:r>
      <w:proofErr w:type="spellStart"/>
      <w:r w:rsidRPr="00C42BF6">
        <w:rPr>
          <w:rFonts w:ascii="Arial" w:eastAsia="Arial" w:hAnsi="Arial" w:cs="Arial"/>
          <w:color w:val="000000"/>
          <w:sz w:val="24"/>
          <w:szCs w:val="24"/>
        </w:rPr>
        <w:t>Δ</w:t>
      </w:r>
      <w:r w:rsidRPr="00C42BF6">
        <w:rPr>
          <w:rFonts w:ascii="Arial" w:eastAsia="Arial" w:hAnsi="Arial" w:cs="Arial"/>
          <w:i/>
          <w:iCs/>
          <w:color w:val="000000"/>
          <w:sz w:val="24"/>
          <w:szCs w:val="24"/>
        </w:rPr>
        <w:t>d</w:t>
      </w:r>
      <w:proofErr w:type="spellEnd"/>
      <w:r w:rsidRPr="00C42BF6">
        <w:rPr>
          <w:rFonts w:ascii="Arial" w:eastAsia="Arial" w:hAnsi="Arial" w:cs="Arial"/>
          <w:color w:val="000000"/>
          <w:sz w:val="24"/>
          <w:szCs w:val="24"/>
        </w:rPr>
        <w:t>/</w:t>
      </w:r>
      <w:r w:rsidRPr="00C42BF6">
        <w:rPr>
          <w:rFonts w:ascii="Arial" w:eastAsia="Arial" w:hAnsi="Arial" w:cs="Arial"/>
          <w:i/>
          <w:iCs/>
          <w:color w:val="000000"/>
          <w:sz w:val="24"/>
          <w:szCs w:val="24"/>
        </w:rPr>
        <w:t>d</w:t>
      </w:r>
      <w:r w:rsidRPr="00C42BF6">
        <w:rPr>
          <w:rFonts w:ascii="Arial" w:eastAsia="Arial" w:hAnsi="Arial" w:cs="Arial"/>
          <w:i/>
          <w:iCs/>
          <w:color w:val="000000"/>
          <w:sz w:val="24"/>
          <w:szCs w:val="24"/>
          <w:vertAlign w:val="subscript"/>
        </w:rPr>
        <w:t>i</w:t>
      </w:r>
    </w:p>
    <w:p w14:paraId="2B27DC79" w14:textId="77777777" w:rsidR="277E52C9" w:rsidRPr="00C42BF6" w:rsidRDefault="277E52C9" w:rsidP="00FF30AE">
      <w:pPr>
        <w:spacing w:line="480" w:lineRule="auto"/>
        <w:rPr>
          <w:rFonts w:ascii="Arial" w:hAnsi="Arial" w:cs="Arial"/>
          <w:color w:val="000000"/>
          <w:sz w:val="24"/>
          <w:szCs w:val="24"/>
        </w:rPr>
      </w:pPr>
      <w:r w:rsidRPr="00C42BF6">
        <w:rPr>
          <w:rFonts w:ascii="Arial" w:eastAsia="Arial" w:hAnsi="Arial" w:cs="Arial"/>
          <w:color w:val="000000"/>
          <w:sz w:val="24"/>
          <w:szCs w:val="24"/>
        </w:rPr>
        <w:t xml:space="preserve">Where </w:t>
      </w:r>
      <w:proofErr w:type="spellStart"/>
      <w:r w:rsidRPr="00C42BF6">
        <w:rPr>
          <w:rFonts w:ascii="Arial" w:eastAsia="Arial" w:hAnsi="Arial" w:cs="Arial"/>
          <w:i/>
          <w:iCs/>
          <w:color w:val="000000"/>
          <w:sz w:val="24"/>
          <w:szCs w:val="24"/>
        </w:rPr>
        <w:t>d</w:t>
      </w:r>
      <w:proofErr w:type="spellEnd"/>
      <w:r w:rsidRPr="00C42BF6">
        <w:rPr>
          <w:rFonts w:ascii="Arial" w:eastAsia="Arial" w:hAnsi="Arial" w:cs="Arial"/>
          <w:color w:val="000000"/>
          <w:sz w:val="24"/>
          <w:szCs w:val="24"/>
        </w:rPr>
        <w:t xml:space="preserve"> is diameter and </w:t>
      </w:r>
      <w:r w:rsidRPr="00C42BF6">
        <w:rPr>
          <w:rFonts w:ascii="Arial" w:eastAsia="Arial" w:hAnsi="Arial" w:cs="Arial"/>
          <w:i/>
          <w:iCs/>
          <w:color w:val="000000"/>
          <w:sz w:val="24"/>
          <w:szCs w:val="24"/>
        </w:rPr>
        <w:t>d</w:t>
      </w:r>
      <w:r w:rsidRPr="00C42BF6">
        <w:rPr>
          <w:rFonts w:ascii="Arial" w:eastAsia="Arial" w:hAnsi="Arial" w:cs="Arial"/>
          <w:i/>
          <w:iCs/>
          <w:color w:val="000000"/>
          <w:sz w:val="24"/>
          <w:szCs w:val="24"/>
          <w:vertAlign w:val="subscript"/>
        </w:rPr>
        <w:t>i</w:t>
      </w:r>
      <w:r w:rsidRPr="00C42BF6">
        <w:rPr>
          <w:rFonts w:ascii="Arial" w:eastAsia="Arial" w:hAnsi="Arial" w:cs="Arial"/>
          <w:color w:val="000000"/>
          <w:sz w:val="24"/>
          <w:szCs w:val="24"/>
        </w:rPr>
        <w:t xml:space="preserve"> is the initial diameter.</w:t>
      </w:r>
    </w:p>
    <w:p w14:paraId="3341D211" w14:textId="77777777"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 xml:space="preserve">Stress </w:t>
      </w:r>
      <w:r w:rsidRPr="00C42BF6">
        <w:rPr>
          <w:rFonts w:ascii="Arial" w:eastAsia="Arial" w:hAnsi="Arial" w:cs="Arial"/>
          <w:i/>
          <w:iCs/>
          <w:color w:val="000000"/>
          <w:sz w:val="24"/>
          <w:szCs w:val="24"/>
        </w:rPr>
        <w:t>(t)</w:t>
      </w:r>
      <w:r w:rsidRPr="00C42BF6">
        <w:rPr>
          <w:rFonts w:ascii="Arial" w:eastAsia="Arial" w:hAnsi="Arial" w:cs="Arial"/>
          <w:color w:val="000000"/>
          <w:sz w:val="24"/>
          <w:szCs w:val="24"/>
        </w:rPr>
        <w:t xml:space="preserve"> = </w:t>
      </w:r>
      <w:r w:rsidRPr="00C42BF6">
        <w:rPr>
          <w:rFonts w:ascii="Arial" w:eastAsia="Arial" w:hAnsi="Arial" w:cs="Arial"/>
          <w:i/>
          <w:iCs/>
          <w:color w:val="000000"/>
          <w:sz w:val="24"/>
          <w:szCs w:val="24"/>
        </w:rPr>
        <w:t>(</w:t>
      </w:r>
      <w:proofErr w:type="spellStart"/>
      <w:r w:rsidRPr="00C42BF6">
        <w:rPr>
          <w:rFonts w:ascii="Arial" w:eastAsia="Arial" w:hAnsi="Arial" w:cs="Arial"/>
          <w:i/>
          <w:iCs/>
          <w:color w:val="000000"/>
          <w:sz w:val="24"/>
          <w:szCs w:val="24"/>
        </w:rPr>
        <w:t>λL</w:t>
      </w:r>
      <w:proofErr w:type="spellEnd"/>
      <w:r w:rsidRPr="00C42BF6">
        <w:rPr>
          <w:rFonts w:ascii="Arial" w:eastAsia="Arial" w:hAnsi="Arial" w:cs="Arial"/>
          <w:i/>
          <w:iCs/>
          <w:color w:val="000000"/>
          <w:sz w:val="24"/>
          <w:szCs w:val="24"/>
        </w:rPr>
        <w:t>)/2(HD)</w:t>
      </w:r>
    </w:p>
    <w:p w14:paraId="7F24B448" w14:textId="77777777" w:rsidR="2EBACE1F" w:rsidRPr="00C42BF6" w:rsidRDefault="2EBACE1F" w:rsidP="00FF30AE">
      <w:pPr>
        <w:spacing w:line="480" w:lineRule="auto"/>
        <w:rPr>
          <w:rFonts w:ascii="Arial" w:eastAsia="Arial" w:hAnsi="Arial" w:cs="Arial"/>
          <w:color w:val="000000"/>
          <w:sz w:val="24"/>
          <w:szCs w:val="24"/>
        </w:rPr>
      </w:pPr>
      <w:r w:rsidRPr="00C42BF6">
        <w:rPr>
          <w:rFonts w:ascii="Arial" w:eastAsia="Arial" w:hAnsi="Arial" w:cs="Arial"/>
          <w:color w:val="000000"/>
          <w:sz w:val="24"/>
          <w:szCs w:val="24"/>
        </w:rPr>
        <w:t xml:space="preserve">Where </w:t>
      </w:r>
      <w:r w:rsidRPr="00C42BF6">
        <w:rPr>
          <w:rFonts w:ascii="Arial" w:eastAsia="Arial" w:hAnsi="Arial" w:cs="Arial"/>
          <w:i/>
          <w:iCs/>
          <w:color w:val="000000"/>
          <w:sz w:val="24"/>
          <w:szCs w:val="24"/>
        </w:rPr>
        <w:t>L</w:t>
      </w:r>
      <w:r w:rsidRPr="00C42BF6">
        <w:rPr>
          <w:rFonts w:ascii="Arial" w:eastAsia="Arial" w:hAnsi="Arial" w:cs="Arial"/>
          <w:color w:val="000000"/>
          <w:sz w:val="24"/>
          <w:szCs w:val="24"/>
        </w:rPr>
        <w:t xml:space="preserve"> is one-dimensional load, </w:t>
      </w:r>
      <w:r w:rsidRPr="00C42BF6">
        <w:rPr>
          <w:rFonts w:ascii="Arial" w:eastAsia="Arial" w:hAnsi="Arial" w:cs="Arial"/>
          <w:i/>
          <w:iCs/>
          <w:color w:val="000000"/>
          <w:sz w:val="24"/>
          <w:szCs w:val="24"/>
        </w:rPr>
        <w:t>H</w:t>
      </w:r>
      <w:r w:rsidRPr="00C42BF6">
        <w:rPr>
          <w:rFonts w:ascii="Arial" w:eastAsia="Arial" w:hAnsi="Arial" w:cs="Arial"/>
          <w:color w:val="000000"/>
          <w:sz w:val="24"/>
          <w:szCs w:val="24"/>
        </w:rPr>
        <w:t xml:space="preserve"> is intima-media thickness (IMT), and </w:t>
      </w:r>
      <w:r w:rsidRPr="00C42BF6">
        <w:rPr>
          <w:rFonts w:ascii="Arial" w:eastAsia="Arial" w:hAnsi="Arial" w:cs="Arial"/>
          <w:i/>
          <w:iCs/>
          <w:color w:val="000000"/>
          <w:sz w:val="24"/>
          <w:szCs w:val="24"/>
        </w:rPr>
        <w:t>D</w:t>
      </w:r>
      <w:r w:rsidRPr="00C42BF6">
        <w:rPr>
          <w:rFonts w:ascii="Arial" w:eastAsia="Arial" w:hAnsi="Arial" w:cs="Arial"/>
          <w:color w:val="000000"/>
          <w:sz w:val="24"/>
          <w:szCs w:val="24"/>
        </w:rPr>
        <w:t xml:space="preserve"> is vessel length.</w:t>
      </w:r>
    </w:p>
    <w:p w14:paraId="3E2533C1" w14:textId="77777777" w:rsidR="277E52C9" w:rsidRPr="00C42BF6" w:rsidRDefault="277E52C9" w:rsidP="00FF30AE">
      <w:pPr>
        <w:spacing w:line="480" w:lineRule="auto"/>
        <w:rPr>
          <w:rFonts w:ascii="Arial" w:hAnsi="Arial" w:cs="Arial"/>
          <w:color w:val="000000"/>
          <w:sz w:val="24"/>
          <w:szCs w:val="24"/>
        </w:rPr>
      </w:pPr>
      <w:r w:rsidRPr="00C42BF6">
        <w:rPr>
          <w:rFonts w:ascii="Arial" w:eastAsia="Arial" w:hAnsi="Arial" w:cs="Arial"/>
          <w:color w:val="000000"/>
          <w:sz w:val="24"/>
          <w:szCs w:val="24"/>
        </w:rPr>
        <w:t xml:space="preserve">            Aortic diameter and IMT were determined in ~1 mm segments of thoracic aorta that were frozen in optimal cutting temperature (OCT) compound in liquid nitrogen-cooled methyl butane and stored at -80°C. Samples were later sectioned (7</w:t>
      </w:r>
      <w:r w:rsidR="00AB0D4C" w:rsidRPr="00C42BF6">
        <w:rPr>
          <w:rFonts w:ascii="Arial" w:eastAsia="Arial" w:hAnsi="Arial" w:cs="Arial"/>
          <w:color w:val="000000"/>
          <w:sz w:val="24"/>
          <w:szCs w:val="24"/>
        </w:rPr>
        <w:t xml:space="preserve"> </w:t>
      </w:r>
      <w:proofErr w:type="spellStart"/>
      <w:r w:rsidRPr="00C42BF6">
        <w:rPr>
          <w:rFonts w:ascii="Arial" w:eastAsia="Arial" w:hAnsi="Arial" w:cs="Arial"/>
          <w:color w:val="000000"/>
          <w:sz w:val="24"/>
          <w:szCs w:val="24"/>
        </w:rPr>
        <w:t>μm</w:t>
      </w:r>
      <w:proofErr w:type="spellEnd"/>
      <w:r w:rsidRPr="00C42BF6">
        <w:rPr>
          <w:rFonts w:ascii="Arial" w:eastAsia="Arial" w:hAnsi="Arial" w:cs="Arial"/>
          <w:color w:val="000000"/>
          <w:sz w:val="24"/>
          <w:szCs w:val="24"/>
        </w:rPr>
        <w:t xml:space="preserve">; Leica CM1520, Leica biosystems, </w:t>
      </w:r>
      <w:proofErr w:type="spellStart"/>
      <w:r w:rsidRPr="00C42BF6">
        <w:rPr>
          <w:rFonts w:ascii="Arial" w:eastAsia="Arial" w:hAnsi="Arial" w:cs="Arial"/>
          <w:color w:val="000000"/>
          <w:sz w:val="24"/>
          <w:szCs w:val="24"/>
        </w:rPr>
        <w:t>Weltzar</w:t>
      </w:r>
      <w:proofErr w:type="spellEnd"/>
      <w:r w:rsidRPr="00C42BF6">
        <w:rPr>
          <w:rFonts w:ascii="Arial" w:eastAsia="Arial" w:hAnsi="Arial" w:cs="Arial"/>
          <w:color w:val="000000"/>
          <w:sz w:val="24"/>
          <w:szCs w:val="24"/>
        </w:rPr>
        <w:t xml:space="preserve">, Germany), plated on </w:t>
      </w:r>
      <w:proofErr w:type="spellStart"/>
      <w:r w:rsidRPr="00C42BF6">
        <w:rPr>
          <w:rFonts w:ascii="Arial" w:eastAsia="Arial" w:hAnsi="Arial" w:cs="Arial"/>
          <w:color w:val="000000"/>
          <w:sz w:val="24"/>
          <w:szCs w:val="24"/>
        </w:rPr>
        <w:t>microscrope</w:t>
      </w:r>
      <w:proofErr w:type="spellEnd"/>
      <w:r w:rsidRPr="00C42BF6">
        <w:rPr>
          <w:rFonts w:ascii="Arial" w:eastAsia="Arial" w:hAnsi="Arial" w:cs="Arial"/>
          <w:color w:val="000000"/>
          <w:sz w:val="24"/>
          <w:szCs w:val="24"/>
        </w:rPr>
        <w:t xml:space="preserve"> slides, and imaged using a brightfield microscope (Nikon Eclipse TS100; 4x magnification). ImageJ software (National Institutes of Health, Bethesda, MA) was used to quantify the aortic diameter and IMT. The differentiation between the aortic medial and adventitial layers </w:t>
      </w:r>
      <w:r w:rsidRPr="00C42BF6">
        <w:rPr>
          <w:rFonts w:ascii="Arial" w:eastAsia="Arial" w:hAnsi="Arial" w:cs="Arial"/>
          <w:color w:val="000000"/>
          <w:sz w:val="24"/>
          <w:szCs w:val="24"/>
        </w:rPr>
        <w:lastRenderedPageBreak/>
        <w:t xml:space="preserve">was determined as the point between the regular banding patterns of the external elastic lamellae and the diffuse pattern of the adventitia. </w:t>
      </w:r>
    </w:p>
    <w:p w14:paraId="343F47DC" w14:textId="77777777"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The high-force, collagen-dominant region of the elastic modulus was determined as the slope of the linear equation (r</w:t>
      </w:r>
      <w:r w:rsidRPr="00C42BF6">
        <w:rPr>
          <w:rFonts w:ascii="Arial" w:eastAsia="Arial" w:hAnsi="Arial" w:cs="Arial"/>
          <w:color w:val="000000"/>
          <w:sz w:val="24"/>
          <w:szCs w:val="24"/>
          <w:vertAlign w:val="superscript"/>
        </w:rPr>
        <w:t>2</w:t>
      </w:r>
      <w:r w:rsidRPr="00C42BF6">
        <w:rPr>
          <w:rFonts w:ascii="Arial" w:eastAsia="Arial" w:hAnsi="Arial" w:cs="Arial"/>
          <w:color w:val="000000"/>
          <w:sz w:val="24"/>
          <w:szCs w:val="24"/>
        </w:rPr>
        <w:t>&gt;0.99) fitted to the final four data points on the stress-strain curve. The low-force, elastin-dominant region of the stress-strain curve was established by fitting a seventh polynomial equation to the data (r</w:t>
      </w:r>
      <w:r w:rsidRPr="00C42BF6">
        <w:rPr>
          <w:rFonts w:ascii="Arial" w:eastAsia="Arial" w:hAnsi="Arial" w:cs="Arial"/>
          <w:color w:val="000000"/>
          <w:sz w:val="24"/>
          <w:szCs w:val="24"/>
          <w:vertAlign w:val="superscript"/>
        </w:rPr>
        <w:t>2</w:t>
      </w:r>
      <w:r w:rsidRPr="00C42BF6">
        <w:rPr>
          <w:rFonts w:ascii="Arial" w:eastAsia="Arial" w:hAnsi="Arial" w:cs="Arial"/>
          <w:color w:val="000000"/>
          <w:sz w:val="24"/>
          <w:szCs w:val="24"/>
        </w:rPr>
        <w:t xml:space="preserve">&gt;0.99; RStudio) and then computing the roots of the equation. The first root was considered the boundary between the very low-force region and the point at which elastin fibers are initially engaged, and the second root was considered the upper boundary of the elastin-dominant region. The elastic modulus of this region was defined as the slope of a linear equation fitted to the stress-strain data between the first and second roots where the curvature is ~0. </w:t>
      </w:r>
    </w:p>
    <w:p w14:paraId="7AB4871A" w14:textId="634E0A17"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t>Adventitial collagen-1 abundance</w:t>
      </w:r>
      <w:r w:rsidR="00391805">
        <w:rPr>
          <w:rFonts w:ascii="Arial" w:eastAsia="Arial" w:hAnsi="Arial" w:cs="Arial"/>
          <w:b/>
          <w:bCs/>
          <w:i/>
          <w:iCs/>
          <w:color w:val="000000"/>
          <w:sz w:val="24"/>
          <w:szCs w:val="24"/>
        </w:rPr>
        <w:t xml:space="preserve"> (quantitative immunofluorescence) </w:t>
      </w:r>
    </w:p>
    <w:p w14:paraId="7AAFFBE2" w14:textId="68592E2D"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Protein abundance of collagen-1 was assessed in ~1 mm sections of thoracic aorta that were excised, frozen and stored in OCT compound, and sectioned as described above (</w:t>
      </w:r>
      <w:r w:rsidRPr="00C42BF6">
        <w:rPr>
          <w:rFonts w:ascii="Arial" w:eastAsia="Arial" w:hAnsi="Arial" w:cs="Arial"/>
          <w:i/>
          <w:iCs/>
          <w:color w:val="000000"/>
          <w:sz w:val="24"/>
          <w:szCs w:val="24"/>
        </w:rPr>
        <w:t>Ex vivo aortic stiffness with knockdown of target genes</w:t>
      </w:r>
      <w:r w:rsidRPr="00C42BF6">
        <w:rPr>
          <w:rFonts w:ascii="Arial" w:eastAsia="Arial" w:hAnsi="Arial" w:cs="Arial"/>
          <w:color w:val="000000"/>
          <w:sz w:val="24"/>
          <w:szCs w:val="24"/>
        </w:rPr>
        <w:t>)</w:t>
      </w:r>
      <w:r w:rsidR="00346FD8" w:rsidRPr="00C42BF6">
        <w:rPr>
          <w:rFonts w:ascii="Arial" w:eastAsia="Arial" w:hAnsi="Arial" w:cs="Arial"/>
          <w:color w:val="000000"/>
          <w:sz w:val="24"/>
          <w:szCs w:val="24"/>
        </w:rPr>
        <w:fldChar w:fldCharType="begin"/>
      </w:r>
      <w:r w:rsidR="00F80CF1">
        <w:rPr>
          <w:rFonts w:ascii="Arial" w:eastAsia="Arial" w:hAnsi="Arial" w:cs="Arial"/>
          <w:color w:val="000000"/>
          <w:sz w:val="24"/>
          <w:szCs w:val="24"/>
        </w:rPr>
        <w:instrText xml:space="preserve"> ADDIN ZOTERO_ITEM CSL_CITATION {"citationID":"jDwKSpxc","properties":{"formattedCitation":"\\super 21,24\\nosupersub{}","plainCitation":"21,24","noteIndex":0},"citationItems":[{"id":2795,"uris":["http://zotero.org/users/local/6BakpO76/items/IULDNR9J"],"itemData":{"id":2795,"type":"article-journal","abstract":"The aorta stiffens with aging in both men and women, which predicts cardiovascular mortality. Aortic wall structural and extracellular matrix (ECM) remodeling, induced in part by chronic low-grade inflammation, contribute to aortic stiffening. Male mice are an established model of aortic aging. However, there is little information regarding whether female mice are an appropriate model of aortic aging in women, which we aimed to elucidate in the present study. We assessed two strains of mice and found that in C57BL/6N mice, in vivo aortic stiffness (pulse wave velocity, PWV) was higher with aging in both sexes, whereas in B6D2F1 mice, PWV was higher in old versus young male mice, but not in old versus young female mice. Because the age-related stiffening that occurs in men and women was reflected in male and female C57BL/6N mice, we examined the mechanisms of stiffening in this strain. In both sexes, aortic modulus of elasticity (pin myography) was lower in old mice, occurred in conjunction with and was related to higher plasma levels of the elastin-degrading enzyme matrix metalloproteinase-9 (MMP-9), and was accompanied by higher numbers of aortic elastin breaks and higher abundance of adventitial collagen-1. Plasma levels of the inflammatory cytokines interferon-γ, interleukin 6, and monocyte chemoattractant protein-1 were higher in both sexes of old mice. In conclusion, female C57BL/6N mice exhibit aortic stiffening, reduced modulus of elasticity and structural/ECM remodeling, and associated increases in MMP-9 and systemic inflammation with aging, and thus are an appropriate model of aortic aging in women.NEW &amp; NOTEWORTHY Our study demonstrates that with aging, female C57BL/6N mice exhibit higher in vivo aortic stiffness, reduced modulus of elasticity, aortic wall structural and extracellular matrix remodeling, and elevations in systemic inflammation. These changes are largely reflective of those that occur with aging in women. Thus, female C57BL/6N mice are a viable model of human aortic aging and the utility of these animals should be considered in future biomedical investigations.","container-title":"American Journal of Physiology. Heart and Circulatory Physiology","DOI":"10.1152/ajpheart.00120.2023","ISSN":"1522-1539","issue":"6","journalAbbreviation":"Am J Physiol Heart Circ Physiol","language":"eng","note":"PMID: 37115626\nPMCID: PMC10202480","page":"H893-H904","source":"PubMed","title":"Female C57BL/6N mice are a viable model of aortic aging in women","volume":"324","author":[{"family":"Longtine","given":"Abigail G."},{"family":"Venkatasubramanian","given":"Ravinandan"},{"family":"Zigler","given":"Melanie C."},{"family":"Lindquist","given":"Alexandra J."},{"family":"Mahoney","given":"Sophia A."},{"family":"Greenberg","given":"Nathan T."},{"family":"VanDongen","given":"Nicholas S."},{"family":"Ludwig","given":"Katelyn R."},{"family":"Moreau","given":"Kerrie L."},{"family":"Seals","given":"Douglas R."},{"family":"Clayton","given":"Zachary S."}],"issued":{"date-parts":[["2023",6,1]]}}},{"id":2824,"uris":["http://zotero.org/users/local/6BakpO76/items/UYJCEDMR"],"itemData":{"id":2824,"type":"article-journal","abstract":"BACKGROUND: Here, we assessed the role of cellular senescence and the senescence associated secretory phenotype (SASP) in age-related aortic stiffening and endothelial dysfunction.\nMETHODS: We studied young (6-8 mo) and old (27-29 mo) p16-3MR mice, which allows for genetic-based clearance of senescent cells with ganciclovir (GCV). We also treated old C57BL/6N mice with the senolytic ABT-263.\nRESULTS: In old mice, GCV reduced aortic stiffness assessed by aortic pulse wave velocity (PWV; 477±10 vs. 382±7 cm/s, P&lt;0.05) to young levels (old-GCV vs. young-vehicle, P=0.35); ABT-263 also reduced aortic PWV in old mice (446±9 to 356±11 cm/s, P&lt;0.05). Aortic adventitial collagen was reduced by GCV (P&lt;0.05) and ABT-263 (P=0.12) in old mice. To show an effect of the circulating SASP, we demonstrated that plasma exposure from Old-vehicle p16-3MR mice, but not from Old-GCV mice, induced aortic stiffening assessed ex vivo (elastic modulus; P&lt;0.05). Plasma proteomics implicated glycolysis in circulating SASP-mediated aortic stiffening. In old p16-3MR mice, GCV increased endothelial function assessed via peak carotid artery endothelium-dependent dilation (EDD; Old-GCV, 94±1% vs. Old-vehicle, 84±2%, P&lt;0.05) to young levels (Old-GCV vs. young-vehicle, P=0.98), and EDD was higher in old C57BL/6N mice treated with ABT-263 vs. vehicle (96±1% vs. 82±3%, P&lt;0.05). Improvements in endothelial function were mediated by increased nitric oxide (NO) bioavailability (P&lt;0.05) and reduced oxidative stress (P&lt;0.05). Circulating SASP factors related to NO signaling were associated with greater NO-mediated EDD following senescent cell clearance.\nCONCLUSIONS: Cellular senescence and the SASP contribute to vascular aging and senolytics hold promise for improving age-related vascular function.","container-title":"Hypertension (Dallas, Tex.: 1979)","DOI":"10.1161/HYPERTENSIONAHA.123.21392","ISSN":"1524-4563","issue":"10","journalAbbreviation":"Hypertension","language":"eng","note":"PMID: 37593877\nPMCID: PMC10530538","page":"2072-2087","source":"PubMed","title":"Cellular Senescence Contributes to Large Elastic Artery Stiffening and Endothelial Dysfunction With Aging: Amelioration With Senolytic Treatment","title-short":"Cellular Senescence Contributes to Large Elastic Artery Stiffening and Endothelial Dysfunction With Aging","volume":"80","author":[{"family":"Clayton","given":"Zachary S."},{"family":"Rossman","given":"Matthew J."},{"family":"Mahoney","given":"Sophia A."},{"family":"Venkatasubramanian","given":"Ravinandan"},{"family":"Maurer","given":"Grace S."},{"family":"Hutton","given":"David A."},{"family":"VanDongen","given":"Nicholas S."},{"family":"Greenberg","given":"Nathan T."},{"family":"Longtine","given":"Abigail G."},{"family":"Ludwig","given":"Katelyn R."},{"family":"Brunt","given":"Vienna E."},{"family":"LaRocca","given":"Thomas J."},{"family":"Campisi","given":"Judith"},{"family":"Melov","given":"Simon"},{"family":"Seals","given":"Douglas R."}],"issued":{"date-parts":[["2023",10]]}}}],"schema":"https://github.com/citation-style-language/schema/raw/master/csl-citation.json"} </w:instrText>
      </w:r>
      <w:r w:rsidR="00346FD8" w:rsidRPr="00C42BF6">
        <w:rPr>
          <w:rFonts w:ascii="Arial" w:eastAsia="Arial" w:hAnsi="Arial" w:cs="Arial"/>
          <w:color w:val="000000"/>
          <w:sz w:val="24"/>
          <w:szCs w:val="24"/>
        </w:rPr>
        <w:fldChar w:fldCharType="separate"/>
      </w:r>
      <w:r w:rsidR="00F80CF1" w:rsidRPr="00F80CF1">
        <w:rPr>
          <w:rFonts w:ascii="Arial" w:hAnsi="Arial" w:cs="Arial"/>
          <w:color w:val="000000"/>
          <w:sz w:val="24"/>
          <w:vertAlign w:val="superscript"/>
        </w:rPr>
        <w:t>21,24</w:t>
      </w:r>
      <w:r w:rsidR="00346FD8"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xml:space="preserve">. Samples were then plated on poly-L-lysine-coated microscope slides, fixed in 2% paraformaldehyde for 10 minutes, washed with PBS, and permeabilized for 15 minutes (0.1% Triton X-100). Slides were blocked with 5% donkey serum for 1 hour in a humidified chamber, and incubated with an anti-collagen-1 primary antibody (1:200; Southern Biotech, Birmingham, AL; Cat# 1310-01) at room temperature for 1 hour. Slides were then washed with PBS and incubated with an anti-goat fluorescent secondary antibody (1:200; </w:t>
      </w:r>
      <w:proofErr w:type="spellStart"/>
      <w:r w:rsidRPr="00C42BF6">
        <w:rPr>
          <w:rFonts w:ascii="Arial" w:eastAsia="Arial" w:hAnsi="Arial" w:cs="Arial"/>
          <w:color w:val="000000"/>
          <w:sz w:val="24"/>
          <w:szCs w:val="24"/>
        </w:rPr>
        <w:t>AlexaFluor</w:t>
      </w:r>
      <w:proofErr w:type="spellEnd"/>
      <w:r w:rsidRPr="00C42BF6">
        <w:rPr>
          <w:rFonts w:ascii="Arial" w:eastAsia="Arial" w:hAnsi="Arial" w:cs="Arial"/>
          <w:color w:val="000000"/>
          <w:sz w:val="24"/>
          <w:szCs w:val="24"/>
        </w:rPr>
        <w:t xml:space="preserve"> 647; Invitrogen) at room temperature for 30 </w:t>
      </w:r>
      <w:r w:rsidRPr="00C42BF6">
        <w:rPr>
          <w:rFonts w:ascii="Arial" w:eastAsia="Arial" w:hAnsi="Arial" w:cs="Arial"/>
          <w:color w:val="000000"/>
          <w:sz w:val="24"/>
          <w:szCs w:val="24"/>
        </w:rPr>
        <w:lastRenderedPageBreak/>
        <w:t xml:space="preserve">minutes. Slides were washed, stained with DAPI (1:1000; </w:t>
      </w:r>
      <w:proofErr w:type="spellStart"/>
      <w:r w:rsidRPr="00C42BF6">
        <w:rPr>
          <w:rFonts w:ascii="Arial" w:eastAsia="Arial" w:hAnsi="Arial" w:cs="Arial"/>
          <w:color w:val="000000"/>
          <w:sz w:val="24"/>
          <w:szCs w:val="24"/>
        </w:rPr>
        <w:t>ThermoFisher</w:t>
      </w:r>
      <w:proofErr w:type="spellEnd"/>
      <w:r w:rsidRPr="00C42BF6">
        <w:rPr>
          <w:rFonts w:ascii="Arial" w:eastAsia="Arial" w:hAnsi="Arial" w:cs="Arial"/>
          <w:color w:val="000000"/>
          <w:sz w:val="24"/>
          <w:szCs w:val="24"/>
        </w:rPr>
        <w:t xml:space="preserve"> Scientific) for 5 minutes, and cured overnight at room temperature with Invitrogen </w:t>
      </w:r>
      <w:proofErr w:type="spellStart"/>
      <w:r w:rsidRPr="00C42BF6">
        <w:rPr>
          <w:rFonts w:ascii="Arial" w:eastAsia="Arial" w:hAnsi="Arial" w:cs="Arial"/>
          <w:color w:val="000000"/>
          <w:sz w:val="24"/>
          <w:szCs w:val="24"/>
        </w:rPr>
        <w:t>ProLong</w:t>
      </w:r>
      <w:proofErr w:type="spellEnd"/>
      <w:r w:rsidRPr="00C42BF6">
        <w:rPr>
          <w:rFonts w:ascii="Arial" w:eastAsia="Arial" w:hAnsi="Arial" w:cs="Arial"/>
          <w:color w:val="000000"/>
          <w:sz w:val="24"/>
          <w:szCs w:val="24"/>
        </w:rPr>
        <w:t xml:space="preserve"> Gold mounting media (Invitrogen). The slides were then imaged using an EVOS M7000 fluorescence microscope at 20x magnification under identical conditions. Images were analyzed using Invitrogen </w:t>
      </w:r>
      <w:proofErr w:type="spellStart"/>
      <w:r w:rsidRPr="00C42BF6">
        <w:rPr>
          <w:rFonts w:ascii="Arial" w:eastAsia="Arial" w:hAnsi="Arial" w:cs="Arial"/>
          <w:color w:val="000000"/>
          <w:sz w:val="24"/>
          <w:szCs w:val="24"/>
        </w:rPr>
        <w:t>Celleste</w:t>
      </w:r>
      <w:proofErr w:type="spellEnd"/>
      <w:r w:rsidRPr="00C42BF6">
        <w:rPr>
          <w:rFonts w:ascii="Arial" w:eastAsia="Arial" w:hAnsi="Arial" w:cs="Arial"/>
          <w:color w:val="000000"/>
          <w:sz w:val="24"/>
          <w:szCs w:val="24"/>
        </w:rPr>
        <w:t xml:space="preserve"> 5.0 Image Analysis Software, and the abundance of collagen-1 was determined as the average intensity (A.U.) of the collagen-positive area across n = 4-6 samples/animal. </w:t>
      </w:r>
      <w:r w:rsidR="00CD444C">
        <w:rPr>
          <w:rFonts w:ascii="Arial" w:eastAsia="Arial" w:hAnsi="Arial" w:cs="Arial"/>
          <w:color w:val="000000"/>
          <w:sz w:val="24"/>
          <w:szCs w:val="24"/>
        </w:rPr>
        <w:t>Adventitial and medial layers were assessed separately, but only adventitial collagen abundance was reported</w:t>
      </w:r>
      <w:r w:rsidR="00F47681">
        <w:rPr>
          <w:rFonts w:ascii="Arial" w:eastAsia="Arial" w:hAnsi="Arial" w:cs="Arial"/>
          <w:color w:val="000000"/>
          <w:sz w:val="24"/>
          <w:szCs w:val="24"/>
        </w:rPr>
        <w:t>,</w:t>
      </w:r>
      <w:r w:rsidR="00CD444C">
        <w:rPr>
          <w:rFonts w:ascii="Arial" w:eastAsia="Arial" w:hAnsi="Arial" w:cs="Arial"/>
          <w:color w:val="000000"/>
          <w:sz w:val="24"/>
          <w:szCs w:val="24"/>
        </w:rPr>
        <w:t xml:space="preserve"> as levels in the media were below the detection limit. </w:t>
      </w:r>
      <w:r w:rsidRPr="00C42BF6">
        <w:rPr>
          <w:rFonts w:ascii="Arial" w:eastAsia="Arial" w:hAnsi="Arial" w:cs="Arial"/>
          <w:color w:val="000000"/>
          <w:sz w:val="24"/>
          <w:szCs w:val="24"/>
        </w:rPr>
        <w:t xml:space="preserve">Specificity of the collagen-1 antibody was determined using negative controls (secondary antibody-only conditions) in a subset of the samples. </w:t>
      </w:r>
    </w:p>
    <w:p w14:paraId="4C5F0EA7" w14:textId="77777777" w:rsidR="277E52C9" w:rsidRPr="00C42BF6" w:rsidRDefault="277E52C9" w:rsidP="00FF30AE">
      <w:pPr>
        <w:spacing w:line="480" w:lineRule="auto"/>
        <w:rPr>
          <w:rFonts w:ascii="Arial" w:hAnsi="Arial" w:cs="Arial"/>
          <w:color w:val="000000"/>
          <w:sz w:val="24"/>
          <w:szCs w:val="24"/>
        </w:rPr>
      </w:pPr>
    </w:p>
    <w:p w14:paraId="75C1F8C0" w14:textId="7876BA60" w:rsidR="277E52C9" w:rsidRPr="00C42BF6" w:rsidRDefault="00C44D72" w:rsidP="00FF30AE">
      <w:pPr>
        <w:spacing w:line="480" w:lineRule="auto"/>
        <w:rPr>
          <w:rFonts w:ascii="Arial" w:hAnsi="Arial" w:cs="Arial"/>
          <w:color w:val="000000"/>
          <w:sz w:val="24"/>
          <w:szCs w:val="24"/>
        </w:rPr>
      </w:pPr>
      <w:r w:rsidRPr="00C42BF6">
        <w:rPr>
          <w:rFonts w:ascii="Arial" w:eastAsia="Arial" w:hAnsi="Arial" w:cs="Arial"/>
          <w:b/>
          <w:bCs/>
          <w:color w:val="000000"/>
          <w:sz w:val="24"/>
          <w:szCs w:val="24"/>
        </w:rPr>
        <w:t>STATISTICAL ANALYSES</w:t>
      </w:r>
      <w:r w:rsidR="277E52C9" w:rsidRPr="00C42BF6">
        <w:rPr>
          <w:rFonts w:ascii="Arial" w:hAnsi="Arial" w:cs="Arial"/>
          <w:color w:val="000000"/>
          <w:sz w:val="24"/>
          <w:szCs w:val="24"/>
        </w:rPr>
        <w:br/>
      </w:r>
      <w:r w:rsidR="277E52C9" w:rsidRPr="00C42BF6">
        <w:rPr>
          <w:rFonts w:ascii="Arial" w:hAnsi="Arial" w:cs="Arial"/>
          <w:color w:val="000000"/>
          <w:sz w:val="24"/>
          <w:szCs w:val="24"/>
        </w:rPr>
        <w:tab/>
      </w:r>
      <w:r w:rsidR="277E52C9" w:rsidRPr="00C42BF6">
        <w:rPr>
          <w:rFonts w:ascii="Arial" w:eastAsia="Arial" w:hAnsi="Arial" w:cs="Arial"/>
          <w:color w:val="000000"/>
          <w:sz w:val="24"/>
          <w:szCs w:val="24"/>
        </w:rPr>
        <w:t xml:space="preserve">Differences in animal characteristics, peak EDD with siRNA transfection, and elastic modulus with siRNA transfection were assessed using two-way analysis of variance (ANOVA) with factors of age (young or old) or condition (scrambled or siRNA) and group/treatment (control, acetate, or high-fiber diet). Differences in aortic pulse wave velocity (PWV) and carotid artery dose responses were determined using repeated measures general linear models (GLM) with factors of age or condition and group/treatment, and repeated measures of time or dose. When a significant main effect was observed for GLMs/two-way ANOVAs, pairwise comparisons were made using </w:t>
      </w:r>
      <w:proofErr w:type="spellStart"/>
      <w:r w:rsidR="277E52C9" w:rsidRPr="00C42BF6">
        <w:rPr>
          <w:rFonts w:ascii="Arial" w:eastAsia="Arial" w:hAnsi="Arial" w:cs="Arial"/>
          <w:color w:val="000000"/>
          <w:sz w:val="24"/>
          <w:szCs w:val="24"/>
        </w:rPr>
        <w:t>Šidák’s</w:t>
      </w:r>
      <w:proofErr w:type="spellEnd"/>
      <w:r w:rsidR="277E52C9" w:rsidRPr="00C42BF6">
        <w:rPr>
          <w:rFonts w:ascii="Arial" w:eastAsia="Arial" w:hAnsi="Arial" w:cs="Arial"/>
          <w:color w:val="000000"/>
          <w:sz w:val="24"/>
          <w:szCs w:val="24"/>
        </w:rPr>
        <w:t xml:space="preserve"> post hoc test. The relation between aortic PWV and gut microbial features were determined using </w:t>
      </w:r>
      <w:proofErr w:type="spellStart"/>
      <w:r w:rsidR="005D7C66">
        <w:rPr>
          <w:rFonts w:ascii="Arial" w:eastAsia="Arial" w:hAnsi="Arial" w:cs="Arial"/>
          <w:i/>
          <w:iCs/>
          <w:color w:val="000000"/>
          <w:sz w:val="24"/>
          <w:szCs w:val="24"/>
        </w:rPr>
        <w:t>robustbase</w:t>
      </w:r>
      <w:proofErr w:type="spellEnd"/>
      <w:r w:rsidR="005D7C66">
        <w:rPr>
          <w:rFonts w:ascii="Arial" w:eastAsia="Arial" w:hAnsi="Arial" w:cs="Arial"/>
          <w:i/>
          <w:iCs/>
          <w:color w:val="000000"/>
          <w:sz w:val="24"/>
          <w:szCs w:val="24"/>
        </w:rPr>
        <w:t xml:space="preserve">: Basic Robust Statistics </w:t>
      </w:r>
      <w:r w:rsidR="277E52C9" w:rsidRPr="00C42BF6">
        <w:rPr>
          <w:rFonts w:ascii="Arial" w:eastAsia="Arial" w:hAnsi="Arial" w:cs="Arial"/>
          <w:color w:val="000000"/>
          <w:sz w:val="24"/>
          <w:szCs w:val="24"/>
        </w:rPr>
        <w:t>regression analyses with the ‘</w:t>
      </w:r>
      <w:proofErr w:type="spellStart"/>
      <w:r w:rsidR="277E52C9" w:rsidRPr="00C42BF6">
        <w:rPr>
          <w:rFonts w:ascii="Arial" w:eastAsia="Arial" w:hAnsi="Arial" w:cs="Arial"/>
          <w:color w:val="000000"/>
          <w:sz w:val="24"/>
          <w:szCs w:val="24"/>
        </w:rPr>
        <w:t>lmrob</w:t>
      </w:r>
      <w:proofErr w:type="spellEnd"/>
      <w:r w:rsidR="277E52C9" w:rsidRPr="00C42BF6">
        <w:rPr>
          <w:rFonts w:ascii="Arial" w:eastAsia="Arial" w:hAnsi="Arial" w:cs="Arial"/>
          <w:color w:val="000000"/>
          <w:sz w:val="24"/>
          <w:szCs w:val="24"/>
        </w:rPr>
        <w:t>’ function in the ‘</w:t>
      </w:r>
      <w:proofErr w:type="spellStart"/>
      <w:r w:rsidR="277E52C9" w:rsidRPr="00C42BF6">
        <w:rPr>
          <w:rFonts w:ascii="Arial" w:eastAsia="Arial" w:hAnsi="Arial" w:cs="Arial"/>
          <w:color w:val="000000"/>
          <w:sz w:val="24"/>
          <w:szCs w:val="24"/>
        </w:rPr>
        <w:t>robustbase</w:t>
      </w:r>
      <w:proofErr w:type="spellEnd"/>
      <w:r w:rsidR="277E52C9" w:rsidRPr="00C42BF6">
        <w:rPr>
          <w:rFonts w:ascii="Arial" w:eastAsia="Arial" w:hAnsi="Arial" w:cs="Arial"/>
          <w:color w:val="000000"/>
          <w:sz w:val="24"/>
          <w:szCs w:val="24"/>
        </w:rPr>
        <w:t>’ package (RStudio)</w:t>
      </w:r>
      <w:r w:rsidR="005D7C66">
        <w:rPr>
          <w:rFonts w:ascii="Arial" w:eastAsia="Arial" w:hAnsi="Arial" w:cs="Arial"/>
          <w:color w:val="000000"/>
          <w:sz w:val="24"/>
          <w:szCs w:val="24"/>
        </w:rPr>
        <w:fldChar w:fldCharType="begin"/>
      </w:r>
      <w:r w:rsidR="00F80CF1">
        <w:rPr>
          <w:rFonts w:ascii="Arial" w:eastAsia="Arial" w:hAnsi="Arial" w:cs="Arial"/>
          <w:color w:val="000000"/>
          <w:sz w:val="24"/>
          <w:szCs w:val="24"/>
        </w:rPr>
        <w:instrText xml:space="preserve"> ADDIN ZOTERO_ITEM CSL_CITATION {"citationID":"a1pl0g0v2s0","properties":{"formattedCitation":"\\super 25\\nosupersub{}","plainCitation":"25","noteIndex":0},"citationItems":[{"id":3662,"uris":["http://zotero.org/users/local/6BakpO76/items/BR5WLRGA"],"itemData":{"id":3662,"type":"article-journal","container-title":"2024","title":"robustbase: Basic Robust Statistics","URL":"http://robustbase.r-forge.r-project.org/","volume":"R package version 0.99-2","author":[{"literal":"Maechler, M"},{"literal":"Rousseeuw, P"},{"literal":"Croux, C"},{"literal":"Todorov, V"},{"literal":"Ruckstuhl, A"},{"literal":"Salibian-Barrera, M"},{"literal":"Verbeke, T"},{"literal":"Koller, M"},{"literal":"Conceicao, EL"},{"literal":"Anna di Palma, M"}]}}],"schema":"https://github.com/citation-style-language/schema/raw/master/csl-citation.json"} </w:instrText>
      </w:r>
      <w:r w:rsidR="005D7C66">
        <w:rPr>
          <w:rFonts w:ascii="Arial" w:eastAsia="Arial" w:hAnsi="Arial" w:cs="Arial"/>
          <w:color w:val="000000"/>
          <w:sz w:val="24"/>
          <w:szCs w:val="24"/>
        </w:rPr>
        <w:fldChar w:fldCharType="separate"/>
      </w:r>
      <w:r w:rsidR="00F80CF1" w:rsidRPr="00F80CF1">
        <w:rPr>
          <w:rFonts w:ascii="Arial" w:hAnsi="Arial" w:cs="Arial"/>
          <w:color w:val="000000"/>
          <w:sz w:val="24"/>
          <w:vertAlign w:val="superscript"/>
        </w:rPr>
        <w:t>25</w:t>
      </w:r>
      <w:r w:rsidR="005D7C66">
        <w:rPr>
          <w:rFonts w:ascii="Arial" w:eastAsia="Arial" w:hAnsi="Arial" w:cs="Arial"/>
          <w:color w:val="000000"/>
          <w:sz w:val="24"/>
          <w:szCs w:val="24"/>
        </w:rPr>
        <w:fldChar w:fldCharType="end"/>
      </w:r>
      <w:r w:rsidR="277E52C9" w:rsidRPr="00C42BF6">
        <w:rPr>
          <w:rFonts w:ascii="Arial" w:eastAsia="Arial" w:hAnsi="Arial" w:cs="Arial"/>
          <w:color w:val="000000"/>
          <w:sz w:val="24"/>
          <w:szCs w:val="24"/>
        </w:rPr>
        <w:t xml:space="preserve">. All other outcomes were </w:t>
      </w:r>
      <w:r w:rsidR="277E52C9" w:rsidRPr="00C42BF6">
        <w:rPr>
          <w:rFonts w:ascii="Arial" w:eastAsia="Arial" w:hAnsi="Arial" w:cs="Arial"/>
          <w:color w:val="000000"/>
          <w:sz w:val="24"/>
          <w:szCs w:val="24"/>
        </w:rPr>
        <w:lastRenderedPageBreak/>
        <w:t xml:space="preserve">assessed using one-way ANOVA with Tukey’s post hoc test when a main effect was observed. </w:t>
      </w:r>
      <w:r w:rsidR="00F7758D" w:rsidRPr="00C42BF6">
        <w:rPr>
          <w:rFonts w:ascii="Arial" w:eastAsia="Arial" w:hAnsi="Arial" w:cs="Arial"/>
          <w:color w:val="000000"/>
          <w:sz w:val="24"/>
          <w:szCs w:val="24"/>
        </w:rPr>
        <w:t>T</w:t>
      </w:r>
      <w:r w:rsidR="006D58C0" w:rsidRPr="00C42BF6">
        <w:rPr>
          <w:rFonts w:ascii="Arial" w:eastAsia="Arial" w:hAnsi="Arial" w:cs="Arial"/>
          <w:color w:val="000000"/>
          <w:sz w:val="24"/>
          <w:szCs w:val="24"/>
        </w:rPr>
        <w:t xml:space="preserve">he cytokine array </w:t>
      </w:r>
      <w:r w:rsidR="00F7758D" w:rsidRPr="00C42BF6">
        <w:rPr>
          <w:rFonts w:ascii="Arial" w:eastAsia="Arial" w:hAnsi="Arial" w:cs="Arial"/>
          <w:color w:val="000000"/>
          <w:sz w:val="24"/>
          <w:szCs w:val="24"/>
        </w:rPr>
        <w:t xml:space="preserve">results </w:t>
      </w:r>
      <w:r w:rsidR="006D58C0" w:rsidRPr="00C42BF6">
        <w:rPr>
          <w:rFonts w:ascii="Arial" w:eastAsia="Arial" w:hAnsi="Arial" w:cs="Arial"/>
          <w:color w:val="000000"/>
          <w:sz w:val="24"/>
          <w:szCs w:val="24"/>
        </w:rPr>
        <w:t>were also assessed using one-way ANOVA/Tukey’s post hoc test</w:t>
      </w:r>
      <w:r w:rsidR="00F7758D" w:rsidRPr="00C42BF6">
        <w:rPr>
          <w:rFonts w:ascii="Arial" w:eastAsia="Arial" w:hAnsi="Arial" w:cs="Arial"/>
          <w:color w:val="000000"/>
          <w:sz w:val="24"/>
          <w:szCs w:val="24"/>
        </w:rPr>
        <w:t xml:space="preserve">. Because this was a secondary outcome performed only in a subset of samples, we were underpowered to do a </w:t>
      </w:r>
      <w:r w:rsidR="006D58C0" w:rsidRPr="00C42BF6">
        <w:rPr>
          <w:rFonts w:ascii="Arial" w:eastAsia="Arial" w:hAnsi="Arial" w:cs="Arial"/>
          <w:color w:val="000000"/>
          <w:sz w:val="24"/>
          <w:szCs w:val="24"/>
        </w:rPr>
        <w:t>correct</w:t>
      </w:r>
      <w:r w:rsidR="00F7758D" w:rsidRPr="00C42BF6">
        <w:rPr>
          <w:rFonts w:ascii="Arial" w:eastAsia="Arial" w:hAnsi="Arial" w:cs="Arial"/>
          <w:color w:val="000000"/>
          <w:sz w:val="24"/>
          <w:szCs w:val="24"/>
        </w:rPr>
        <w:t>ion</w:t>
      </w:r>
      <w:r w:rsidR="006D58C0" w:rsidRPr="00C42BF6">
        <w:rPr>
          <w:rFonts w:ascii="Arial" w:eastAsia="Arial" w:hAnsi="Arial" w:cs="Arial"/>
          <w:color w:val="000000"/>
          <w:sz w:val="24"/>
          <w:szCs w:val="24"/>
        </w:rPr>
        <w:t xml:space="preserve"> for multiple comparisons</w:t>
      </w:r>
      <w:r w:rsidR="00F7758D" w:rsidRPr="00C42BF6">
        <w:rPr>
          <w:rFonts w:ascii="Arial" w:eastAsia="Arial" w:hAnsi="Arial" w:cs="Arial"/>
          <w:color w:val="000000"/>
          <w:sz w:val="24"/>
          <w:szCs w:val="24"/>
        </w:rPr>
        <w:t xml:space="preserve">. </w:t>
      </w:r>
    </w:p>
    <w:p w14:paraId="2D70E705" w14:textId="77777777"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t>Power calculations</w:t>
      </w:r>
    </w:p>
    <w:p w14:paraId="5F5B7BAA" w14:textId="12336CFC"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 xml:space="preserve">Power calculations were performed using G*power 3.1 for EDD, the primary outcome variable. An effect size of 1.59 was obtained from preliminary data for the difference in peak EDD between old acetate-supplemented and control mice, which necessitated </w:t>
      </w:r>
      <w:r w:rsidR="005E3F90" w:rsidRPr="00C42BF6">
        <w:rPr>
          <w:rFonts w:ascii="Arial" w:eastAsia="Arial" w:hAnsi="Arial" w:cs="Arial"/>
          <w:color w:val="000000"/>
          <w:sz w:val="24"/>
          <w:szCs w:val="24"/>
        </w:rPr>
        <w:t>n</w:t>
      </w:r>
      <w:r w:rsidRPr="00C42BF6">
        <w:rPr>
          <w:rFonts w:ascii="Arial" w:eastAsia="Arial" w:hAnsi="Arial" w:cs="Arial"/>
          <w:color w:val="000000"/>
          <w:sz w:val="24"/>
          <w:szCs w:val="24"/>
        </w:rPr>
        <w:t>=12 mice per group to detect differences in peak EDD with 95% statistical power using a two-side significance level of α=0.01. This sample size also ensured &gt;90% statistical power to detect differences in aortic PWV (effect size from preliminary data = 0.97). Additional mice were studied in each group to ensure sufficient data were obtained and to account for up to 50% age-related attrition, as 27 months is the median lifespan in male C57BL/6N mice</w:t>
      </w:r>
      <w:r w:rsidR="00B975B7" w:rsidRPr="00C42BF6">
        <w:rPr>
          <w:rFonts w:ascii="Arial" w:eastAsia="Arial" w:hAnsi="Arial" w:cs="Arial"/>
          <w:color w:val="000000"/>
          <w:sz w:val="24"/>
          <w:szCs w:val="24"/>
        </w:rPr>
        <w:fldChar w:fldCharType="begin"/>
      </w:r>
      <w:r w:rsidR="00F80CF1">
        <w:rPr>
          <w:rFonts w:ascii="Arial" w:eastAsia="Arial" w:hAnsi="Arial" w:cs="Arial"/>
          <w:color w:val="000000"/>
          <w:sz w:val="24"/>
          <w:szCs w:val="24"/>
        </w:rPr>
        <w:instrText xml:space="preserve"> ADDIN ZOTERO_ITEM CSL_CITATION {"citationID":"p0nKBhiV","properties":{"formattedCitation":"\\super 26\\nosupersub{}","plainCitation":"26","noteIndex":0},"citationItems":[{"id":1524,"uris":["http://zotero.org/users/local/6BakpO76/items/F5WADBTD"],"itemData":{"id":1524,"type":"book","edition":"2nd","publisher":"American College Laboratory Animal Medicine (Elsevier), Burlington, MA","title":"The Mouse in Aging Research. In The Mouse in Biomedical Research 2nd Edition, ed. Fox JG et al.","author":[{"family":"Flurkey","given":"K"},{"family":"Currer","given":"J. M."},{"family":"Harrison","given":"D. E."}],"issued":{"date-parts":[["2007"]]}}}],"schema":"https://github.com/citation-style-language/schema/raw/master/csl-citation.json"} </w:instrText>
      </w:r>
      <w:r w:rsidR="00B975B7" w:rsidRPr="00C42BF6">
        <w:rPr>
          <w:rFonts w:ascii="Arial" w:eastAsia="Arial" w:hAnsi="Arial" w:cs="Arial"/>
          <w:color w:val="000000"/>
          <w:sz w:val="24"/>
          <w:szCs w:val="24"/>
        </w:rPr>
        <w:fldChar w:fldCharType="separate"/>
      </w:r>
      <w:r w:rsidR="00F80CF1" w:rsidRPr="00F80CF1">
        <w:rPr>
          <w:rFonts w:ascii="Arial" w:hAnsi="Arial" w:cs="Arial"/>
          <w:color w:val="000000"/>
          <w:sz w:val="24"/>
          <w:vertAlign w:val="superscript"/>
        </w:rPr>
        <w:t>26</w:t>
      </w:r>
      <w:r w:rsidR="00B975B7" w:rsidRPr="00C42BF6">
        <w:rPr>
          <w:rFonts w:ascii="Arial" w:eastAsia="Arial" w:hAnsi="Arial" w:cs="Arial"/>
          <w:color w:val="000000"/>
          <w:sz w:val="24"/>
          <w:szCs w:val="24"/>
        </w:rPr>
        <w:fldChar w:fldCharType="end"/>
      </w:r>
      <w:r w:rsidRPr="00C42BF6">
        <w:rPr>
          <w:rFonts w:ascii="Arial" w:eastAsia="Arial" w:hAnsi="Arial" w:cs="Arial"/>
          <w:color w:val="000000"/>
          <w:sz w:val="24"/>
          <w:szCs w:val="24"/>
        </w:rPr>
        <w:t>. Additional mice were also included for the siRNA transfection experiments to ensure sufficient data were obtained because of the technical challenges of these experiments. Of the 186 mice that were obtained for this study, 26 mice were used for pilot studies to determine the optimal dose and mode of acetate delivery. Of the remaining 160 mice (35 young and 125 old), 14 old mice died or were euthanized per veterinary recommendation prior to baseline testing/intervention administration, and 17 old mice died or were euthanized per veterinary recommendation during the intervention (5 OC, 7 OA, 5 OF), i.e., 24% age-related attrition.</w:t>
      </w:r>
    </w:p>
    <w:p w14:paraId="53A40239" w14:textId="77777777" w:rsidR="277E52C9" w:rsidRPr="00C42BF6" w:rsidRDefault="277E52C9" w:rsidP="00FF30AE">
      <w:pPr>
        <w:spacing w:line="480" w:lineRule="auto"/>
        <w:rPr>
          <w:rFonts w:ascii="Arial" w:hAnsi="Arial" w:cs="Arial"/>
          <w:b/>
          <w:bCs/>
          <w:color w:val="000000"/>
          <w:sz w:val="24"/>
          <w:szCs w:val="24"/>
        </w:rPr>
      </w:pPr>
      <w:r w:rsidRPr="00C42BF6">
        <w:rPr>
          <w:rFonts w:ascii="Arial" w:eastAsia="Arial" w:hAnsi="Arial" w:cs="Arial"/>
          <w:b/>
          <w:bCs/>
          <w:i/>
          <w:iCs/>
          <w:color w:val="000000"/>
          <w:sz w:val="24"/>
          <w:szCs w:val="24"/>
        </w:rPr>
        <w:lastRenderedPageBreak/>
        <w:t xml:space="preserve">Experimental randomization, inclusion and exclusion criteria, handling of outliers. </w:t>
      </w:r>
    </w:p>
    <w:p w14:paraId="55F619E6" w14:textId="77777777" w:rsidR="277E52C9" w:rsidRPr="00C42BF6" w:rsidRDefault="277E52C9" w:rsidP="00FF30AE">
      <w:pPr>
        <w:spacing w:line="480" w:lineRule="auto"/>
        <w:ind w:firstLine="720"/>
        <w:rPr>
          <w:rFonts w:ascii="Arial" w:hAnsi="Arial" w:cs="Arial"/>
          <w:color w:val="000000"/>
          <w:sz w:val="24"/>
          <w:szCs w:val="24"/>
        </w:rPr>
      </w:pPr>
      <w:r w:rsidRPr="00C42BF6">
        <w:rPr>
          <w:rFonts w:ascii="Arial" w:eastAsia="Arial" w:hAnsi="Arial" w:cs="Arial"/>
          <w:color w:val="000000"/>
          <w:sz w:val="24"/>
          <w:szCs w:val="24"/>
        </w:rPr>
        <w:t xml:space="preserve">Animals were randomly assigned to one of the experimental conditions. Data were assessed for statistical outliers (ROUT test; Q = 1%), and outliers were excluded from final analyses. </w:t>
      </w:r>
    </w:p>
    <w:p w14:paraId="54CFF44F" w14:textId="77777777" w:rsidR="00010931" w:rsidRDefault="277E52C9" w:rsidP="00010931">
      <w:pPr>
        <w:spacing w:line="360" w:lineRule="auto"/>
        <w:rPr>
          <w:rFonts w:ascii="Arial" w:eastAsia="Arial" w:hAnsi="Arial" w:cs="Arial"/>
          <w:b/>
          <w:bCs/>
          <w:color w:val="000000"/>
          <w:sz w:val="24"/>
          <w:szCs w:val="24"/>
        </w:rPr>
      </w:pPr>
      <w:r w:rsidRPr="00C42BF6">
        <w:rPr>
          <w:rFonts w:ascii="Arial" w:hAnsi="Arial" w:cs="Arial"/>
          <w:color w:val="000000"/>
        </w:rPr>
        <w:br/>
      </w:r>
    </w:p>
    <w:p w14:paraId="2C094360" w14:textId="77777777" w:rsidR="00010931" w:rsidRDefault="00010931">
      <w:pPr>
        <w:spacing w:after="0" w:line="240" w:lineRule="auto"/>
        <w:rPr>
          <w:rFonts w:ascii="Arial" w:eastAsia="Arial" w:hAnsi="Arial" w:cs="Arial"/>
          <w:b/>
          <w:bCs/>
          <w:color w:val="000000"/>
          <w:sz w:val="24"/>
          <w:szCs w:val="24"/>
        </w:rPr>
      </w:pPr>
      <w:r>
        <w:rPr>
          <w:rFonts w:ascii="Arial" w:eastAsia="Arial" w:hAnsi="Arial" w:cs="Arial"/>
          <w:b/>
          <w:bCs/>
          <w:color w:val="000000"/>
          <w:sz w:val="24"/>
          <w:szCs w:val="24"/>
        </w:rPr>
        <w:br w:type="page"/>
      </w:r>
    </w:p>
    <w:p w14:paraId="5A063F93" w14:textId="42EA27E5" w:rsidR="00A7508C" w:rsidRPr="00C42BF6" w:rsidRDefault="183A2E8D" w:rsidP="00010931">
      <w:pPr>
        <w:spacing w:line="360" w:lineRule="auto"/>
        <w:rPr>
          <w:rFonts w:ascii="Arial" w:eastAsia="Arial" w:hAnsi="Arial" w:cs="Arial"/>
          <w:b/>
          <w:bCs/>
          <w:color w:val="000000"/>
          <w:sz w:val="24"/>
          <w:szCs w:val="24"/>
        </w:rPr>
      </w:pPr>
      <w:r w:rsidRPr="00C42BF6">
        <w:rPr>
          <w:rFonts w:ascii="Arial" w:eastAsia="Arial" w:hAnsi="Arial" w:cs="Arial"/>
          <w:b/>
          <w:bCs/>
          <w:color w:val="000000"/>
          <w:sz w:val="24"/>
          <w:szCs w:val="24"/>
        </w:rPr>
        <w:lastRenderedPageBreak/>
        <w:t>SUPPLEMENTAL FIGURES</w:t>
      </w:r>
    </w:p>
    <w:p w14:paraId="3CC1C7C3" w14:textId="11321914" w:rsidR="00A7508C" w:rsidRPr="00C42BF6" w:rsidRDefault="00A7508C" w:rsidP="183A2E8D">
      <w:pPr>
        <w:rPr>
          <w:rFonts w:ascii="Arial" w:hAnsi="Arial" w:cs="Arial"/>
          <w:color w:val="000000"/>
        </w:rPr>
      </w:pPr>
    </w:p>
    <w:p w14:paraId="0C1AB282" w14:textId="12A36352" w:rsidR="00CF2976" w:rsidRPr="00E12E51" w:rsidRDefault="00F54C8D" w:rsidP="00E12E51">
      <w:pPr>
        <w:spacing w:line="480" w:lineRule="auto"/>
        <w:jc w:val="both"/>
        <w:rPr>
          <w:rFonts w:ascii="Arial" w:eastAsia="Arial" w:hAnsi="Arial" w:cs="Arial"/>
          <w:color w:val="000000"/>
          <w:sz w:val="24"/>
          <w:szCs w:val="24"/>
        </w:rPr>
      </w:pPr>
      <w:r w:rsidRPr="00C42BF6">
        <w:rPr>
          <w:rFonts w:ascii="Arial" w:eastAsia="Arial" w:hAnsi="Arial" w:cs="Arial"/>
          <w:b/>
          <w:bCs/>
          <w:color w:val="000000"/>
          <w:sz w:val="24"/>
          <w:szCs w:val="24"/>
        </w:rPr>
        <w:t xml:space="preserve">Supplementary </w:t>
      </w:r>
      <w:r w:rsidR="183A2E8D" w:rsidRPr="00C42BF6">
        <w:rPr>
          <w:rFonts w:ascii="Arial" w:eastAsia="Arial" w:hAnsi="Arial" w:cs="Arial"/>
          <w:b/>
          <w:bCs/>
          <w:color w:val="000000"/>
          <w:sz w:val="24"/>
          <w:szCs w:val="24"/>
        </w:rPr>
        <w:t xml:space="preserve">Figure </w:t>
      </w:r>
      <w:r w:rsidRPr="00C42BF6">
        <w:rPr>
          <w:rFonts w:ascii="Arial" w:eastAsia="Arial" w:hAnsi="Arial" w:cs="Arial"/>
          <w:b/>
          <w:bCs/>
          <w:color w:val="000000"/>
          <w:sz w:val="24"/>
          <w:szCs w:val="24"/>
        </w:rPr>
        <w:t>S</w:t>
      </w:r>
      <w:r w:rsidR="183A2E8D" w:rsidRPr="00C42BF6">
        <w:rPr>
          <w:rFonts w:ascii="Arial" w:eastAsia="Arial" w:hAnsi="Arial" w:cs="Arial"/>
          <w:b/>
          <w:bCs/>
          <w:color w:val="000000"/>
          <w:sz w:val="24"/>
          <w:szCs w:val="24"/>
        </w:rPr>
        <w:t>1: Gut microbiome alpha diversity is not altered with aging in mice.</w:t>
      </w:r>
      <w:r w:rsidR="183A2E8D" w:rsidRPr="00C42BF6">
        <w:rPr>
          <w:rFonts w:ascii="Arial" w:eastAsia="Arial" w:hAnsi="Arial" w:cs="Arial"/>
          <w:color w:val="000000"/>
          <w:sz w:val="24"/>
          <w:szCs w:val="24"/>
        </w:rPr>
        <w:t xml:space="preserve"> Metagenomic sequencing of fecal samples collected at baseline from young (n=17; ~3 mo.) and old (n=23; ~24 mo.) male C57BL/6N mice rarefied to a sampling depth of 1,362,029 features.</w:t>
      </w:r>
      <w:r w:rsidR="183A2E8D" w:rsidRPr="00C42BF6">
        <w:rPr>
          <w:rFonts w:ascii="Arial" w:eastAsia="Arial" w:hAnsi="Arial" w:cs="Arial"/>
          <w:b/>
          <w:bCs/>
          <w:color w:val="000000"/>
          <w:sz w:val="24"/>
          <w:szCs w:val="24"/>
        </w:rPr>
        <w:t xml:space="preserve"> </w:t>
      </w:r>
      <w:r w:rsidR="183A2E8D" w:rsidRPr="00C42BF6">
        <w:rPr>
          <w:rFonts w:ascii="Arial" w:eastAsia="Arial" w:hAnsi="Arial" w:cs="Arial"/>
          <w:color w:val="000000"/>
          <w:sz w:val="24"/>
          <w:szCs w:val="24"/>
        </w:rPr>
        <w:t xml:space="preserve">Alpha diversity can be assessed using many different statistical comparisons. As such, to confirm our findings we assessed alpha diversity via </w:t>
      </w:r>
      <w:r w:rsidR="183A2E8D" w:rsidRPr="00C42BF6">
        <w:rPr>
          <w:rFonts w:ascii="Arial" w:eastAsia="Arial" w:hAnsi="Arial" w:cs="Arial"/>
          <w:b/>
          <w:bCs/>
          <w:color w:val="000000"/>
          <w:sz w:val="24"/>
          <w:szCs w:val="24"/>
        </w:rPr>
        <w:t xml:space="preserve">A) </w:t>
      </w:r>
      <w:r w:rsidR="183A2E8D" w:rsidRPr="00C42BF6">
        <w:rPr>
          <w:rFonts w:ascii="Arial" w:eastAsia="Arial" w:hAnsi="Arial" w:cs="Arial"/>
          <w:color w:val="000000"/>
          <w:sz w:val="24"/>
          <w:szCs w:val="24"/>
        </w:rPr>
        <w:t xml:space="preserve">Abundance-based </w:t>
      </w:r>
      <w:r w:rsidR="0025703D" w:rsidRPr="00C42BF6">
        <w:rPr>
          <w:rFonts w:ascii="Arial" w:eastAsia="Arial" w:hAnsi="Arial" w:cs="Arial"/>
          <w:color w:val="000000"/>
          <w:sz w:val="24"/>
          <w:szCs w:val="24"/>
        </w:rPr>
        <w:t>C</w:t>
      </w:r>
      <w:r w:rsidR="183A2E8D" w:rsidRPr="00C42BF6">
        <w:rPr>
          <w:rFonts w:ascii="Arial" w:eastAsia="Arial" w:hAnsi="Arial" w:cs="Arial"/>
          <w:color w:val="000000"/>
          <w:sz w:val="24"/>
          <w:szCs w:val="24"/>
        </w:rPr>
        <w:t xml:space="preserve">overage </w:t>
      </w:r>
      <w:r w:rsidR="0025703D" w:rsidRPr="00C42BF6">
        <w:rPr>
          <w:rFonts w:ascii="Arial" w:eastAsia="Arial" w:hAnsi="Arial" w:cs="Arial"/>
          <w:color w:val="000000"/>
          <w:sz w:val="24"/>
          <w:szCs w:val="24"/>
        </w:rPr>
        <w:t>E</w:t>
      </w:r>
      <w:r w:rsidR="183A2E8D" w:rsidRPr="00C42BF6">
        <w:rPr>
          <w:rFonts w:ascii="Arial" w:eastAsia="Arial" w:hAnsi="Arial" w:cs="Arial"/>
          <w:color w:val="000000"/>
          <w:sz w:val="24"/>
          <w:szCs w:val="24"/>
        </w:rPr>
        <w:t xml:space="preserve">stimator (ACE), </w:t>
      </w:r>
      <w:r w:rsidR="183A2E8D" w:rsidRPr="00C42BF6">
        <w:rPr>
          <w:rFonts w:ascii="Arial" w:eastAsia="Arial" w:hAnsi="Arial" w:cs="Arial"/>
          <w:b/>
          <w:bCs/>
          <w:color w:val="000000"/>
          <w:sz w:val="24"/>
          <w:szCs w:val="24"/>
        </w:rPr>
        <w:t>B)</w:t>
      </w:r>
      <w:r w:rsidR="183A2E8D" w:rsidRPr="00C42BF6">
        <w:rPr>
          <w:rFonts w:ascii="Arial" w:eastAsia="Arial" w:hAnsi="Arial" w:cs="Arial"/>
          <w:color w:val="000000"/>
          <w:sz w:val="24"/>
          <w:szCs w:val="24"/>
        </w:rPr>
        <w:t xml:space="preserve"> Chao1, </w:t>
      </w:r>
      <w:r w:rsidR="183A2E8D" w:rsidRPr="00C42BF6">
        <w:rPr>
          <w:rFonts w:ascii="Arial" w:eastAsia="Arial" w:hAnsi="Arial" w:cs="Arial"/>
          <w:b/>
          <w:bCs/>
          <w:color w:val="000000"/>
          <w:sz w:val="24"/>
          <w:szCs w:val="24"/>
        </w:rPr>
        <w:t>C)</w:t>
      </w:r>
      <w:r w:rsidR="183A2E8D" w:rsidRPr="00C42BF6">
        <w:rPr>
          <w:rFonts w:ascii="Arial" w:eastAsia="Arial" w:hAnsi="Arial" w:cs="Arial"/>
          <w:color w:val="000000"/>
          <w:sz w:val="24"/>
          <w:szCs w:val="24"/>
        </w:rPr>
        <w:t xml:space="preserve"> </w:t>
      </w:r>
      <w:proofErr w:type="spellStart"/>
      <w:r w:rsidR="183A2E8D" w:rsidRPr="00C42BF6">
        <w:rPr>
          <w:rFonts w:ascii="Arial" w:eastAsia="Arial" w:hAnsi="Arial" w:cs="Arial"/>
          <w:color w:val="000000"/>
          <w:sz w:val="24"/>
          <w:szCs w:val="24"/>
        </w:rPr>
        <w:t>Pielou's</w:t>
      </w:r>
      <w:proofErr w:type="spellEnd"/>
      <w:r w:rsidR="183A2E8D" w:rsidRPr="00C42BF6">
        <w:rPr>
          <w:rFonts w:ascii="Arial" w:eastAsia="Arial" w:hAnsi="Arial" w:cs="Arial"/>
          <w:color w:val="000000"/>
          <w:sz w:val="24"/>
          <w:szCs w:val="24"/>
        </w:rPr>
        <w:t xml:space="preserve"> Evenness, </w:t>
      </w:r>
      <w:r w:rsidR="183A2E8D" w:rsidRPr="00C42BF6">
        <w:rPr>
          <w:rFonts w:ascii="Arial" w:eastAsia="Arial" w:hAnsi="Arial" w:cs="Arial"/>
          <w:b/>
          <w:bCs/>
          <w:color w:val="000000"/>
          <w:sz w:val="24"/>
          <w:szCs w:val="24"/>
        </w:rPr>
        <w:t>D)</w:t>
      </w:r>
      <w:r w:rsidR="183A2E8D" w:rsidRPr="00C42BF6">
        <w:rPr>
          <w:rFonts w:ascii="Arial" w:eastAsia="Arial" w:hAnsi="Arial" w:cs="Arial"/>
          <w:color w:val="000000"/>
          <w:sz w:val="24"/>
          <w:szCs w:val="24"/>
        </w:rPr>
        <w:t xml:space="preserve"> Shannon’s Index</w:t>
      </w:r>
      <w:r w:rsidR="000528A0" w:rsidRPr="00C42BF6">
        <w:rPr>
          <w:rFonts w:ascii="Arial" w:eastAsia="Arial" w:hAnsi="Arial" w:cs="Arial"/>
          <w:color w:val="000000"/>
          <w:sz w:val="24"/>
          <w:szCs w:val="24"/>
        </w:rPr>
        <w:t>,</w:t>
      </w:r>
      <w:r w:rsidR="183A2E8D" w:rsidRPr="00C42BF6">
        <w:rPr>
          <w:rFonts w:ascii="Arial" w:eastAsia="Arial" w:hAnsi="Arial" w:cs="Arial"/>
          <w:color w:val="000000"/>
          <w:sz w:val="24"/>
          <w:szCs w:val="24"/>
        </w:rPr>
        <w:t xml:space="preserve"> and </w:t>
      </w:r>
      <w:r w:rsidR="183A2E8D" w:rsidRPr="00C42BF6">
        <w:rPr>
          <w:rFonts w:ascii="Arial" w:eastAsia="Arial" w:hAnsi="Arial" w:cs="Arial"/>
          <w:b/>
          <w:bCs/>
          <w:color w:val="000000"/>
          <w:sz w:val="24"/>
          <w:szCs w:val="24"/>
        </w:rPr>
        <w:t>E)</w:t>
      </w:r>
      <w:r w:rsidR="183A2E8D" w:rsidRPr="00C42BF6">
        <w:rPr>
          <w:rFonts w:ascii="Arial" w:eastAsia="Times New Roman" w:hAnsi="Arial" w:cs="Arial"/>
          <w:color w:val="000000"/>
          <w:sz w:val="24"/>
          <w:szCs w:val="24"/>
        </w:rPr>
        <w:t xml:space="preserve"> Simpson’s Index. </w:t>
      </w:r>
    </w:p>
    <w:p w14:paraId="05C59FE9" w14:textId="77777777" w:rsidR="002B2BA3" w:rsidRDefault="002B2BA3">
      <w:pPr>
        <w:spacing w:after="0" w:line="240" w:lineRule="auto"/>
        <w:rPr>
          <w:rFonts w:ascii="Arial" w:eastAsia="Arial" w:hAnsi="Arial" w:cs="Arial"/>
          <w:b/>
          <w:bCs/>
          <w:color w:val="000000"/>
          <w:sz w:val="24"/>
          <w:szCs w:val="24"/>
        </w:rPr>
      </w:pPr>
      <w:r>
        <w:rPr>
          <w:rFonts w:ascii="Arial" w:eastAsia="Arial" w:hAnsi="Arial" w:cs="Arial"/>
          <w:b/>
          <w:bCs/>
          <w:color w:val="000000"/>
          <w:sz w:val="24"/>
          <w:szCs w:val="24"/>
        </w:rPr>
        <w:br w:type="page"/>
      </w:r>
    </w:p>
    <w:p w14:paraId="1F4ADD51" w14:textId="732FA479" w:rsidR="00A45898" w:rsidRDefault="183A2E8D" w:rsidP="183A2E8D">
      <w:pPr>
        <w:spacing w:line="480" w:lineRule="auto"/>
        <w:jc w:val="both"/>
        <w:rPr>
          <w:rFonts w:ascii="Arial" w:eastAsia="Arial" w:hAnsi="Arial" w:cs="Arial"/>
          <w:color w:val="000000"/>
          <w:sz w:val="24"/>
          <w:szCs w:val="24"/>
        </w:rPr>
      </w:pPr>
      <w:r w:rsidRPr="00C42BF6">
        <w:rPr>
          <w:rFonts w:ascii="Arial" w:eastAsia="Arial" w:hAnsi="Arial" w:cs="Arial"/>
          <w:b/>
          <w:bCs/>
          <w:color w:val="000000"/>
          <w:sz w:val="24"/>
          <w:szCs w:val="24"/>
        </w:rPr>
        <w:lastRenderedPageBreak/>
        <w:t>Supplementary Figure S2: Gut microbial functional pathways related to lipopolysaccharide (LPS) biosynthesis, oxidative stress and maintenance of the intestinal barrier are not altered with aging.</w:t>
      </w:r>
      <w:r w:rsidRPr="00C42BF6">
        <w:rPr>
          <w:rFonts w:ascii="Arial" w:eastAsia="Arial" w:hAnsi="Arial" w:cs="Arial"/>
          <w:color w:val="000000"/>
          <w:sz w:val="24"/>
          <w:szCs w:val="24"/>
        </w:rPr>
        <w:t xml:space="preserve"> Metagenomic sequencing of fecal samples collected at baseline from young (n=22; ~3 mo.) and old (n=25; ~24 mo.) male C57BL/6N mice. For all analyses presented in this figure, samples were rarefied to frequency of </w:t>
      </w:r>
      <w:r w:rsidRPr="00C42BF6">
        <w:rPr>
          <w:rFonts w:ascii="Arial" w:eastAsia="Helvetica" w:hAnsi="Arial" w:cs="Arial"/>
          <w:color w:val="000000"/>
          <w:sz w:val="24"/>
          <w:szCs w:val="24"/>
        </w:rPr>
        <w:t xml:space="preserve">1,981,501. </w:t>
      </w:r>
      <w:r w:rsidRPr="00C42BF6">
        <w:rPr>
          <w:rFonts w:ascii="Arial" w:eastAsia="Arial" w:hAnsi="Arial" w:cs="Arial"/>
          <w:b/>
          <w:bCs/>
          <w:color w:val="000000"/>
          <w:sz w:val="24"/>
          <w:szCs w:val="24"/>
        </w:rPr>
        <w:t>A)</w:t>
      </w:r>
      <w:r w:rsidRPr="00C42BF6">
        <w:rPr>
          <w:rFonts w:ascii="Arial" w:eastAsia="Arial" w:hAnsi="Arial" w:cs="Arial"/>
          <w:color w:val="000000"/>
          <w:sz w:val="24"/>
          <w:szCs w:val="24"/>
        </w:rPr>
        <w:t xml:space="preserve"> QIIME2 was used to generate a heatmap of Bray-</w:t>
      </w:r>
      <w:proofErr w:type="gramStart"/>
      <w:r w:rsidRPr="00C42BF6">
        <w:rPr>
          <w:rFonts w:ascii="Arial" w:eastAsia="Arial" w:hAnsi="Arial" w:cs="Arial"/>
          <w:color w:val="000000"/>
          <w:sz w:val="24"/>
          <w:szCs w:val="24"/>
        </w:rPr>
        <w:t>Curtis</w:t>
      </w:r>
      <w:proofErr w:type="gramEnd"/>
      <w:r w:rsidRPr="00C42BF6">
        <w:rPr>
          <w:rFonts w:ascii="Arial" w:eastAsia="Arial" w:hAnsi="Arial" w:cs="Arial"/>
          <w:color w:val="000000"/>
          <w:sz w:val="24"/>
          <w:szCs w:val="24"/>
        </w:rPr>
        <w:t xml:space="preserve"> dissimilarity of Kyoto Encyclopedia of Genes and Genomes (KEGG) pathways (KEGG ortholog classification names available at https://ftp.microbio.me/pub/wol2/function/kegg/) between age groups. The darker the blue the higher abundance of the KEGG ortholog.</w:t>
      </w:r>
      <w:r w:rsidRPr="00C42BF6">
        <w:rPr>
          <w:rFonts w:ascii="Arial" w:eastAsia="Arial" w:hAnsi="Arial" w:cs="Arial"/>
          <w:b/>
          <w:bCs/>
          <w:color w:val="000000"/>
          <w:sz w:val="24"/>
          <w:szCs w:val="24"/>
        </w:rPr>
        <w:t xml:space="preserve"> </w:t>
      </w:r>
      <w:r w:rsidRPr="00C42BF6">
        <w:rPr>
          <w:rFonts w:ascii="Arial" w:eastAsia="Arial" w:hAnsi="Arial" w:cs="Arial"/>
          <w:color w:val="000000"/>
          <w:sz w:val="24"/>
          <w:szCs w:val="24"/>
        </w:rPr>
        <w:t xml:space="preserve">Next, a combination of the QIIME2 plugins Songbird and </w:t>
      </w:r>
      <w:proofErr w:type="spellStart"/>
      <w:r w:rsidRPr="00C42BF6">
        <w:rPr>
          <w:rFonts w:ascii="Arial" w:eastAsia="Arial" w:hAnsi="Arial" w:cs="Arial"/>
          <w:color w:val="000000"/>
          <w:sz w:val="24"/>
          <w:szCs w:val="24"/>
        </w:rPr>
        <w:t>Qurro</w:t>
      </w:r>
      <w:proofErr w:type="spellEnd"/>
      <w:r w:rsidRPr="00C42BF6">
        <w:rPr>
          <w:rFonts w:ascii="Arial" w:eastAsia="Arial" w:hAnsi="Arial" w:cs="Arial"/>
          <w:color w:val="000000"/>
          <w:sz w:val="24"/>
          <w:szCs w:val="24"/>
        </w:rPr>
        <w:t xml:space="preserve"> were used to produce differentials and create a visualization to compare log-ratios of specific KEGG ortholog pathways including </w:t>
      </w:r>
      <w:r w:rsidRPr="00C42BF6">
        <w:rPr>
          <w:rFonts w:ascii="Arial" w:eastAsia="Arial" w:hAnsi="Arial" w:cs="Arial"/>
          <w:b/>
          <w:bCs/>
          <w:color w:val="000000"/>
          <w:sz w:val="24"/>
          <w:szCs w:val="24"/>
        </w:rPr>
        <w:t>B)</w:t>
      </w:r>
      <w:r w:rsidRPr="00C42BF6">
        <w:rPr>
          <w:rFonts w:ascii="Arial" w:eastAsia="Arial" w:hAnsi="Arial" w:cs="Arial"/>
          <w:color w:val="000000"/>
          <w:sz w:val="24"/>
          <w:szCs w:val="24"/>
        </w:rPr>
        <w:t xml:space="preserve"> LPS biosynthesis, </w:t>
      </w:r>
      <w:r w:rsidRPr="00C42BF6">
        <w:rPr>
          <w:rFonts w:ascii="Arial" w:eastAsia="Arial" w:hAnsi="Arial" w:cs="Arial"/>
          <w:b/>
          <w:bCs/>
          <w:color w:val="000000"/>
          <w:sz w:val="24"/>
          <w:szCs w:val="24"/>
        </w:rPr>
        <w:t xml:space="preserve">C) </w:t>
      </w:r>
      <w:r w:rsidRPr="00C42BF6">
        <w:rPr>
          <w:rFonts w:ascii="Arial" w:eastAsia="Arial" w:hAnsi="Arial" w:cs="Arial"/>
          <w:color w:val="000000"/>
          <w:sz w:val="24"/>
          <w:szCs w:val="24"/>
        </w:rPr>
        <w:t xml:space="preserve">glutathione metabolism, </w:t>
      </w:r>
      <w:r w:rsidRPr="00C42BF6">
        <w:rPr>
          <w:rFonts w:ascii="Arial" w:eastAsia="Arial" w:hAnsi="Arial" w:cs="Arial"/>
          <w:b/>
          <w:bCs/>
          <w:color w:val="000000"/>
          <w:sz w:val="24"/>
          <w:szCs w:val="24"/>
        </w:rPr>
        <w:t>D)</w:t>
      </w:r>
      <w:r w:rsidRPr="00C42BF6">
        <w:rPr>
          <w:rFonts w:ascii="Arial" w:eastAsia="Arial" w:hAnsi="Arial" w:cs="Arial"/>
          <w:color w:val="000000"/>
          <w:sz w:val="24"/>
          <w:szCs w:val="24"/>
        </w:rPr>
        <w:t xml:space="preserve"> nicotinate and nicotinamide metabolism, and </w:t>
      </w:r>
      <w:r w:rsidRPr="00C42BF6">
        <w:rPr>
          <w:rFonts w:ascii="Arial" w:eastAsia="Arial" w:hAnsi="Arial" w:cs="Arial"/>
          <w:b/>
          <w:bCs/>
          <w:color w:val="000000"/>
          <w:sz w:val="24"/>
          <w:szCs w:val="24"/>
        </w:rPr>
        <w:t>E)</w:t>
      </w:r>
      <w:r w:rsidRPr="00C42BF6">
        <w:rPr>
          <w:rFonts w:ascii="Arial" w:eastAsia="Arial" w:hAnsi="Arial" w:cs="Arial"/>
          <w:color w:val="000000"/>
          <w:sz w:val="24"/>
          <w:szCs w:val="24"/>
        </w:rPr>
        <w:t xml:space="preserve"> sulfur metabolism.</w:t>
      </w:r>
    </w:p>
    <w:p w14:paraId="42720E38" w14:textId="3E41D7CA" w:rsidR="00BA2409" w:rsidRPr="00B00297" w:rsidRDefault="00A45898" w:rsidP="00B00297">
      <w:pPr>
        <w:spacing w:after="0" w:line="240" w:lineRule="auto"/>
        <w:rPr>
          <w:rFonts w:ascii="Arial" w:eastAsia="Arial" w:hAnsi="Arial" w:cs="Arial"/>
          <w:color w:val="000000"/>
          <w:sz w:val="24"/>
          <w:szCs w:val="24"/>
        </w:rPr>
      </w:pPr>
      <w:r>
        <w:rPr>
          <w:rFonts w:ascii="Arial" w:eastAsia="Arial" w:hAnsi="Arial" w:cs="Arial"/>
          <w:color w:val="000000"/>
          <w:sz w:val="24"/>
          <w:szCs w:val="24"/>
        </w:rPr>
        <w:br w:type="page"/>
      </w:r>
    </w:p>
    <w:p w14:paraId="5EC201BB" w14:textId="630739CC" w:rsidR="00DD77A1" w:rsidRPr="00010931" w:rsidRDefault="01F7C514" w:rsidP="00691319">
      <w:pPr>
        <w:spacing w:line="480" w:lineRule="auto"/>
        <w:jc w:val="both"/>
        <w:rPr>
          <w:rFonts w:ascii="Arial" w:eastAsia="Arial" w:hAnsi="Arial" w:cs="Arial"/>
          <w:color w:val="000000"/>
          <w:sz w:val="24"/>
          <w:szCs w:val="24"/>
        </w:rPr>
      </w:pPr>
      <w:r w:rsidRPr="01F7C514">
        <w:rPr>
          <w:rFonts w:ascii="Arial" w:eastAsia="Arial" w:hAnsi="Arial" w:cs="Arial"/>
          <w:b/>
          <w:bCs/>
          <w:color w:val="000000" w:themeColor="text1"/>
          <w:sz w:val="24"/>
          <w:szCs w:val="24"/>
        </w:rPr>
        <w:lastRenderedPageBreak/>
        <w:t xml:space="preserve">Supplementary Figure S3: Gut microbiome composition at baseline and following supplementation with acetate and high-fiber diet feeding. </w:t>
      </w:r>
      <w:r w:rsidRPr="01F7C514">
        <w:rPr>
          <w:rFonts w:ascii="Arial" w:eastAsia="Arial" w:hAnsi="Arial" w:cs="Arial"/>
          <w:color w:val="000000" w:themeColor="text1"/>
          <w:sz w:val="24"/>
          <w:szCs w:val="24"/>
        </w:rPr>
        <w:t xml:space="preserve">Metagenomic sequencing of fecal samples in young (Y) and old (O) control (C), acetate-supplemented (A), or high-fiber fed (F) male C57BL/6N mice at baseline and following the intervention period (n=10-14/group). For all analyses, samples were rarefied to a frequency of 1,362,029 which was the minimum number of reads in any sample. </w:t>
      </w:r>
      <w:r w:rsidRPr="01F7C514">
        <w:rPr>
          <w:rFonts w:ascii="Arial" w:eastAsia="Arial" w:hAnsi="Arial" w:cs="Arial"/>
          <w:b/>
          <w:bCs/>
          <w:color w:val="000000" w:themeColor="text1"/>
          <w:sz w:val="24"/>
          <w:szCs w:val="24"/>
        </w:rPr>
        <w:t>A)</w:t>
      </w:r>
      <w:r w:rsidRPr="01F7C514">
        <w:rPr>
          <w:rFonts w:ascii="Arial" w:eastAsia="Arial" w:hAnsi="Arial" w:cs="Arial"/>
          <w:color w:val="000000" w:themeColor="text1"/>
          <w:sz w:val="24"/>
          <w:szCs w:val="24"/>
        </w:rPr>
        <w:t xml:space="preserve"> Beta diversity via </w:t>
      </w:r>
      <w:proofErr w:type="spellStart"/>
      <w:r w:rsidRPr="01F7C514">
        <w:rPr>
          <w:rFonts w:ascii="Arial" w:eastAsia="Arial" w:hAnsi="Arial" w:cs="Arial"/>
          <w:color w:val="000000" w:themeColor="text1"/>
          <w:sz w:val="24"/>
          <w:szCs w:val="24"/>
        </w:rPr>
        <w:t>PCoA</w:t>
      </w:r>
      <w:proofErr w:type="spellEnd"/>
      <w:r w:rsidRPr="01F7C514">
        <w:rPr>
          <w:rFonts w:ascii="Arial" w:eastAsia="Arial" w:hAnsi="Arial" w:cs="Arial"/>
          <w:color w:val="000000" w:themeColor="text1"/>
          <w:sz w:val="24"/>
          <w:szCs w:val="24"/>
        </w:rPr>
        <w:t xml:space="preserve"> of unweighted </w:t>
      </w:r>
      <w:proofErr w:type="spellStart"/>
      <w:r w:rsidRPr="01F7C514">
        <w:rPr>
          <w:rFonts w:ascii="Arial" w:eastAsia="Arial" w:hAnsi="Arial" w:cs="Arial"/>
          <w:color w:val="000000" w:themeColor="text1"/>
          <w:sz w:val="24"/>
          <w:szCs w:val="24"/>
        </w:rPr>
        <w:t>UniFrac</w:t>
      </w:r>
      <w:proofErr w:type="spellEnd"/>
      <w:r w:rsidRPr="01F7C514">
        <w:rPr>
          <w:rFonts w:ascii="Arial" w:eastAsia="Arial" w:hAnsi="Arial" w:cs="Arial"/>
          <w:color w:val="000000" w:themeColor="text1"/>
          <w:sz w:val="24"/>
          <w:szCs w:val="24"/>
        </w:rPr>
        <w:t xml:space="preserve"> distances. </w:t>
      </w:r>
      <w:r w:rsidR="00D16EE2">
        <w:rPr>
          <w:rFonts w:ascii="Arial" w:eastAsia="Arial" w:hAnsi="Arial" w:cs="Arial"/>
          <w:color w:val="000000" w:themeColor="text1"/>
          <w:sz w:val="24"/>
          <w:szCs w:val="24"/>
        </w:rPr>
        <w:t xml:space="preserve">Baseline values are spheres and post-intervention values are rings. </w:t>
      </w:r>
      <w:r w:rsidRPr="01F7C514">
        <w:rPr>
          <w:rFonts w:ascii="Arial" w:eastAsia="Arial" w:hAnsi="Arial" w:cs="Arial"/>
          <w:b/>
          <w:bCs/>
          <w:color w:val="000000" w:themeColor="text1"/>
          <w:sz w:val="24"/>
          <w:szCs w:val="24"/>
        </w:rPr>
        <w:t xml:space="preserve">B) </w:t>
      </w:r>
      <w:r w:rsidRPr="01F7C514">
        <w:rPr>
          <w:rFonts w:ascii="Arial" w:eastAsia="Arial" w:hAnsi="Arial" w:cs="Arial"/>
          <w:color w:val="000000" w:themeColor="text1"/>
          <w:sz w:val="24"/>
          <w:szCs w:val="24"/>
        </w:rPr>
        <w:t xml:space="preserve">Alpha diversity measured as Faith’s PD. </w:t>
      </w:r>
      <w:r w:rsidRPr="01F7C514">
        <w:rPr>
          <w:rFonts w:ascii="Arial" w:eastAsia="Arial" w:hAnsi="Arial" w:cs="Arial"/>
          <w:b/>
          <w:bCs/>
          <w:color w:val="000000" w:themeColor="text1"/>
          <w:sz w:val="24"/>
          <w:szCs w:val="24"/>
        </w:rPr>
        <w:t>C-D)</w:t>
      </w:r>
      <w:r w:rsidRPr="01F7C514">
        <w:rPr>
          <w:rFonts w:ascii="Arial" w:eastAsia="Arial" w:hAnsi="Arial" w:cs="Arial"/>
          <w:color w:val="000000" w:themeColor="text1"/>
          <w:sz w:val="24"/>
          <w:szCs w:val="24"/>
        </w:rPr>
        <w:t xml:space="preserve"> A combination of the QIIME2 plugins Songbird and </w:t>
      </w:r>
      <w:proofErr w:type="spellStart"/>
      <w:r w:rsidRPr="01F7C514">
        <w:rPr>
          <w:rFonts w:ascii="Arial" w:eastAsia="Arial" w:hAnsi="Arial" w:cs="Arial"/>
          <w:color w:val="000000" w:themeColor="text1"/>
          <w:sz w:val="24"/>
          <w:szCs w:val="24"/>
        </w:rPr>
        <w:t>Qurro</w:t>
      </w:r>
      <w:proofErr w:type="spellEnd"/>
      <w:r w:rsidRPr="01F7C514">
        <w:rPr>
          <w:rFonts w:ascii="Arial" w:eastAsia="Arial" w:hAnsi="Arial" w:cs="Arial"/>
          <w:color w:val="000000" w:themeColor="text1"/>
          <w:sz w:val="24"/>
          <w:szCs w:val="24"/>
        </w:rPr>
        <w:t xml:space="preserve"> were used to produce differentials and create a visualization to compare log-ratios of grouped short-chain fatty acid (SCFA)- and acetate-producing bacterial taxa. </w:t>
      </w:r>
      <w:r w:rsidR="00D16EE2">
        <w:rPr>
          <w:rFonts w:ascii="Arial" w:eastAsia="Arial" w:hAnsi="Arial" w:cs="Arial"/>
          <w:color w:val="000000" w:themeColor="text1"/>
          <w:sz w:val="24"/>
          <w:szCs w:val="24"/>
        </w:rPr>
        <w:t>Panels</w:t>
      </w:r>
      <w:r w:rsidR="00D16EE2" w:rsidRPr="01F7C514">
        <w:rPr>
          <w:rFonts w:ascii="Arial" w:eastAsia="Arial" w:hAnsi="Arial" w:cs="Arial"/>
          <w:color w:val="000000" w:themeColor="text1"/>
          <w:sz w:val="24"/>
          <w:szCs w:val="24"/>
        </w:rPr>
        <w:t xml:space="preserve"> B-D</w:t>
      </w:r>
      <w:r w:rsidR="00D16EE2">
        <w:rPr>
          <w:rFonts w:ascii="Arial" w:eastAsia="Arial" w:hAnsi="Arial" w:cs="Arial"/>
          <w:color w:val="000000" w:themeColor="text1"/>
          <w:sz w:val="24"/>
          <w:szCs w:val="24"/>
        </w:rPr>
        <w:t>:</w:t>
      </w:r>
      <w:r w:rsidR="00D16EE2" w:rsidRPr="01F7C514">
        <w:rPr>
          <w:rFonts w:ascii="Arial" w:eastAsia="Arial" w:hAnsi="Arial" w:cs="Arial"/>
          <w:color w:val="000000" w:themeColor="text1"/>
          <w:sz w:val="24"/>
          <w:szCs w:val="24"/>
        </w:rPr>
        <w:t xml:space="preserve"> baseline </w:t>
      </w:r>
      <w:r w:rsidR="00D16EE2">
        <w:rPr>
          <w:rFonts w:ascii="Arial" w:eastAsia="Arial" w:hAnsi="Arial" w:cs="Arial"/>
          <w:color w:val="000000" w:themeColor="text1"/>
          <w:sz w:val="24"/>
          <w:szCs w:val="24"/>
        </w:rPr>
        <w:t>values</w:t>
      </w:r>
      <w:r w:rsidR="00D16EE2" w:rsidRPr="01F7C514">
        <w:rPr>
          <w:rFonts w:ascii="Arial" w:eastAsia="Arial" w:hAnsi="Arial" w:cs="Arial"/>
          <w:color w:val="000000" w:themeColor="text1"/>
          <w:sz w:val="24"/>
          <w:szCs w:val="24"/>
        </w:rPr>
        <w:t xml:space="preserve"> are light gray on the left and post-intervention values are </w:t>
      </w:r>
      <w:r w:rsidR="00D16EE2">
        <w:rPr>
          <w:rFonts w:ascii="Arial" w:eastAsia="Arial" w:hAnsi="Arial" w:cs="Arial"/>
          <w:color w:val="000000" w:themeColor="text1"/>
          <w:sz w:val="24"/>
          <w:szCs w:val="24"/>
        </w:rPr>
        <w:t xml:space="preserve">black </w:t>
      </w:r>
      <w:r w:rsidR="00D16EE2" w:rsidRPr="01F7C514">
        <w:rPr>
          <w:rFonts w:ascii="Arial" w:eastAsia="Arial" w:hAnsi="Arial" w:cs="Arial"/>
          <w:color w:val="000000" w:themeColor="text1"/>
          <w:sz w:val="24"/>
          <w:szCs w:val="24"/>
        </w:rPr>
        <w:t>on the right.  </w:t>
      </w:r>
      <w:r w:rsidRPr="01F7C514">
        <w:rPr>
          <w:rFonts w:ascii="Arial" w:eastAsia="Arial" w:hAnsi="Arial" w:cs="Arial"/>
          <w:color w:val="000000" w:themeColor="text1"/>
          <w:sz w:val="24"/>
          <w:szCs w:val="24"/>
        </w:rPr>
        <w:t xml:space="preserve">Filtering specifics included in the </w:t>
      </w:r>
      <w:r w:rsidRPr="01F7C514">
        <w:rPr>
          <w:rFonts w:ascii="Arial" w:eastAsia="Arial" w:hAnsi="Arial" w:cs="Arial"/>
          <w:b/>
          <w:bCs/>
          <w:color w:val="000000" w:themeColor="text1"/>
          <w:sz w:val="24"/>
          <w:szCs w:val="24"/>
        </w:rPr>
        <w:t>Supplementary Table S2</w:t>
      </w:r>
      <w:r w:rsidRPr="01F7C514">
        <w:rPr>
          <w:rFonts w:ascii="Arial" w:eastAsia="Arial" w:hAnsi="Arial" w:cs="Arial"/>
          <w:color w:val="000000" w:themeColor="text1"/>
          <w:sz w:val="24"/>
          <w:szCs w:val="24"/>
        </w:rPr>
        <w:t>.</w:t>
      </w:r>
      <w:r w:rsidR="00BA2409" w:rsidRPr="01F7C514">
        <w:rPr>
          <w:rFonts w:ascii="Arial" w:hAnsi="Arial" w:cs="Arial"/>
          <w:color w:val="000000" w:themeColor="text1"/>
        </w:rPr>
        <w:br w:type="page"/>
      </w:r>
    </w:p>
    <w:p w14:paraId="53C952E0" w14:textId="4E2D9E18" w:rsidR="006850B0" w:rsidRPr="00C42BF6" w:rsidRDefault="00C6377C" w:rsidP="00691319">
      <w:pPr>
        <w:spacing w:line="480" w:lineRule="auto"/>
        <w:jc w:val="both"/>
        <w:rPr>
          <w:rFonts w:ascii="Arial" w:hAnsi="Arial" w:cs="Arial"/>
          <w:color w:val="000000"/>
        </w:rPr>
      </w:pPr>
      <w:r w:rsidRPr="00C42BF6">
        <w:rPr>
          <w:rFonts w:ascii="Arial" w:eastAsia="Arial" w:hAnsi="Arial" w:cs="Arial"/>
          <w:b/>
          <w:bCs/>
          <w:color w:val="000000"/>
          <w:sz w:val="24"/>
          <w:szCs w:val="24"/>
        </w:rPr>
        <w:lastRenderedPageBreak/>
        <w:t>Supplementary Figure S</w:t>
      </w:r>
      <w:r w:rsidR="004C2779">
        <w:rPr>
          <w:rFonts w:ascii="Arial" w:eastAsia="Arial" w:hAnsi="Arial" w:cs="Arial"/>
          <w:b/>
          <w:bCs/>
          <w:color w:val="000000"/>
          <w:sz w:val="24"/>
          <w:szCs w:val="24"/>
        </w:rPr>
        <w:t>4</w:t>
      </w:r>
      <w:r w:rsidR="00587CD4" w:rsidRPr="00C42BF6">
        <w:rPr>
          <w:rFonts w:ascii="Arial" w:eastAsia="Arial" w:hAnsi="Arial" w:cs="Arial"/>
          <w:b/>
          <w:bCs/>
          <w:color w:val="000000"/>
          <w:sz w:val="24"/>
          <w:szCs w:val="24"/>
        </w:rPr>
        <w:t>:</w:t>
      </w:r>
      <w:r w:rsidRPr="00C42BF6">
        <w:rPr>
          <w:rFonts w:ascii="Arial" w:eastAsia="Arial" w:hAnsi="Arial" w:cs="Arial"/>
          <w:color w:val="000000"/>
          <w:sz w:val="24"/>
          <w:szCs w:val="24"/>
        </w:rPr>
        <w:t xml:space="preserve"> </w:t>
      </w:r>
      <w:r w:rsidR="00DD77A1" w:rsidRPr="00C42BF6">
        <w:rPr>
          <w:rFonts w:ascii="Arial" w:eastAsia="Arial" w:hAnsi="Arial" w:cs="Arial"/>
          <w:b/>
          <w:bCs/>
          <w:color w:val="000000"/>
          <w:sz w:val="24"/>
          <w:szCs w:val="24"/>
        </w:rPr>
        <w:t>Influence of early growth response-1 (E</w:t>
      </w:r>
      <w:r w:rsidR="00C635F7">
        <w:rPr>
          <w:rFonts w:ascii="Arial" w:eastAsia="Arial" w:hAnsi="Arial" w:cs="Arial"/>
          <w:b/>
          <w:bCs/>
          <w:color w:val="000000"/>
          <w:sz w:val="24"/>
          <w:szCs w:val="24"/>
        </w:rPr>
        <w:t>gr</w:t>
      </w:r>
      <w:r w:rsidR="00DD77A1" w:rsidRPr="00C42BF6">
        <w:rPr>
          <w:rFonts w:ascii="Arial" w:eastAsia="Arial" w:hAnsi="Arial" w:cs="Arial"/>
          <w:b/>
          <w:bCs/>
          <w:color w:val="000000"/>
          <w:sz w:val="24"/>
          <w:szCs w:val="24"/>
        </w:rPr>
        <w:t>-1) signaling on e</w:t>
      </w:r>
      <w:r w:rsidRPr="00C42BF6">
        <w:rPr>
          <w:rFonts w:ascii="Arial" w:eastAsia="Arial" w:hAnsi="Arial" w:cs="Arial"/>
          <w:b/>
          <w:bCs/>
          <w:color w:val="000000"/>
          <w:sz w:val="24"/>
          <w:szCs w:val="24"/>
        </w:rPr>
        <w:t xml:space="preserve">ndothelium-independent dilation (EID) in carotid arteries. </w:t>
      </w:r>
      <w:r w:rsidR="006850B0" w:rsidRPr="00C42BF6">
        <w:rPr>
          <w:rFonts w:ascii="Arial" w:eastAsia="Arial" w:hAnsi="Arial" w:cs="Arial"/>
          <w:b/>
          <w:bCs/>
          <w:color w:val="000000"/>
          <w:sz w:val="24"/>
          <w:szCs w:val="24"/>
        </w:rPr>
        <w:t>A)</w:t>
      </w:r>
      <w:r w:rsidR="006850B0" w:rsidRPr="00C42BF6">
        <w:rPr>
          <w:rFonts w:ascii="Arial" w:eastAsia="Arial" w:hAnsi="Arial" w:cs="Arial"/>
          <w:color w:val="000000"/>
          <w:sz w:val="24"/>
          <w:szCs w:val="24"/>
        </w:rPr>
        <w:t xml:space="preserve"> </w:t>
      </w:r>
      <w:r w:rsidRPr="00C42BF6">
        <w:rPr>
          <w:rFonts w:ascii="Arial" w:eastAsia="Arial" w:hAnsi="Arial" w:cs="Arial"/>
          <w:color w:val="000000"/>
          <w:sz w:val="24"/>
          <w:szCs w:val="24"/>
        </w:rPr>
        <w:t xml:space="preserve">Peak carotid artery EID in response to the </w:t>
      </w:r>
      <w:r w:rsidR="000A1DE1" w:rsidRPr="00C42BF6">
        <w:rPr>
          <w:rFonts w:ascii="Arial" w:eastAsia="Arial" w:hAnsi="Arial" w:cs="Arial"/>
          <w:color w:val="000000"/>
          <w:sz w:val="24"/>
          <w:szCs w:val="24"/>
        </w:rPr>
        <w:t xml:space="preserve">nitric oxide </w:t>
      </w:r>
      <w:r w:rsidRPr="00C42BF6">
        <w:rPr>
          <w:rFonts w:ascii="Arial" w:eastAsia="Arial" w:hAnsi="Arial" w:cs="Arial"/>
          <w:color w:val="000000"/>
          <w:sz w:val="24"/>
          <w:szCs w:val="24"/>
        </w:rPr>
        <w:t>donor sodium nitroprusside (SNP) in arteries obtained from old (O) control (C)</w:t>
      </w:r>
      <w:r w:rsidR="006850B0" w:rsidRPr="00C42BF6">
        <w:rPr>
          <w:rFonts w:ascii="Arial" w:eastAsia="Arial" w:hAnsi="Arial" w:cs="Arial"/>
          <w:color w:val="000000"/>
          <w:sz w:val="24"/>
          <w:szCs w:val="24"/>
        </w:rPr>
        <w:t xml:space="preserve"> or </w:t>
      </w:r>
      <w:r w:rsidRPr="00C42BF6">
        <w:rPr>
          <w:rFonts w:ascii="Arial" w:eastAsia="Arial" w:hAnsi="Arial" w:cs="Arial"/>
          <w:color w:val="000000"/>
          <w:sz w:val="24"/>
          <w:szCs w:val="24"/>
        </w:rPr>
        <w:t>acetate-supplemented (A) male C57BL/6N mice incubated for 24 hours in media containing siRNA against E</w:t>
      </w:r>
      <w:r w:rsidR="00C635F7">
        <w:rPr>
          <w:rFonts w:ascii="Arial" w:eastAsia="Arial" w:hAnsi="Arial" w:cs="Arial"/>
          <w:color w:val="000000"/>
          <w:sz w:val="24"/>
          <w:szCs w:val="24"/>
        </w:rPr>
        <w:t>gr</w:t>
      </w:r>
      <w:r w:rsidRPr="00C42BF6">
        <w:rPr>
          <w:rFonts w:ascii="Arial" w:eastAsia="Arial" w:hAnsi="Arial" w:cs="Arial"/>
          <w:color w:val="000000"/>
          <w:sz w:val="24"/>
          <w:szCs w:val="24"/>
        </w:rPr>
        <w:t xml:space="preserve">-1 or scrambled (n=3-4/group). Data are mean ± SEM. Statistics are two-way mixed (group x condition) ANOVA with </w:t>
      </w:r>
      <w:proofErr w:type="spellStart"/>
      <w:r w:rsidRPr="00C42BF6">
        <w:rPr>
          <w:rFonts w:ascii="Arial" w:eastAsia="Arial" w:hAnsi="Arial" w:cs="Arial"/>
          <w:color w:val="000000"/>
          <w:sz w:val="24"/>
          <w:szCs w:val="24"/>
        </w:rPr>
        <w:t>Šídák's</w:t>
      </w:r>
      <w:proofErr w:type="spellEnd"/>
      <w:r w:rsidRPr="00C42BF6">
        <w:rPr>
          <w:rFonts w:ascii="Arial" w:eastAsia="Arial" w:hAnsi="Arial" w:cs="Arial"/>
          <w:color w:val="000000"/>
          <w:sz w:val="24"/>
          <w:szCs w:val="24"/>
        </w:rPr>
        <w:t xml:space="preserve"> post-hoc test</w:t>
      </w:r>
      <w:r w:rsidR="006850B0" w:rsidRPr="00C42BF6">
        <w:rPr>
          <w:rFonts w:ascii="Arial" w:eastAsia="Arial" w:hAnsi="Arial" w:cs="Arial"/>
          <w:color w:val="000000"/>
          <w:sz w:val="24"/>
          <w:szCs w:val="24"/>
        </w:rPr>
        <w:t>. ****</w:t>
      </w:r>
      <w:r w:rsidR="006850B0" w:rsidRPr="00C42BF6">
        <w:rPr>
          <w:rFonts w:ascii="Arial" w:eastAsia="Arial" w:hAnsi="Arial" w:cs="Arial"/>
          <w:i/>
          <w:iCs/>
          <w:color w:val="000000"/>
          <w:sz w:val="24"/>
          <w:szCs w:val="24"/>
        </w:rPr>
        <w:t>P</w:t>
      </w:r>
      <w:r w:rsidR="006850B0" w:rsidRPr="00C42BF6">
        <w:rPr>
          <w:rFonts w:ascii="Arial" w:eastAsia="Arial" w:hAnsi="Arial" w:cs="Arial"/>
          <w:color w:val="000000"/>
          <w:sz w:val="24"/>
          <w:szCs w:val="24"/>
        </w:rPr>
        <w:t>&lt;0.0001.</w:t>
      </w:r>
    </w:p>
    <w:p w14:paraId="6D7D4373" w14:textId="77777777" w:rsidR="00DD77A1" w:rsidRPr="00C42BF6" w:rsidRDefault="0079167E">
      <w:pPr>
        <w:rPr>
          <w:rFonts w:ascii="Arial" w:eastAsia="Arial" w:hAnsi="Arial" w:cs="Arial"/>
          <w:b/>
          <w:bCs/>
          <w:color w:val="000000"/>
          <w:sz w:val="24"/>
          <w:szCs w:val="24"/>
        </w:rPr>
      </w:pPr>
      <w:r w:rsidRPr="00C42BF6">
        <w:rPr>
          <w:rFonts w:ascii="Arial" w:eastAsia="Arial" w:hAnsi="Arial" w:cs="Arial"/>
          <w:b/>
          <w:bCs/>
          <w:color w:val="000000"/>
          <w:sz w:val="24"/>
          <w:szCs w:val="24"/>
        </w:rPr>
        <w:br w:type="page"/>
      </w:r>
    </w:p>
    <w:p w14:paraId="79917814" w14:textId="77777777" w:rsidR="277E52C9" w:rsidRPr="00C42BF6" w:rsidRDefault="277E52C9" w:rsidP="00942809">
      <w:pPr>
        <w:jc w:val="center"/>
        <w:rPr>
          <w:rFonts w:ascii="Arial" w:hAnsi="Arial" w:cs="Arial"/>
          <w:color w:val="000000"/>
          <w:sz w:val="24"/>
          <w:szCs w:val="24"/>
        </w:rPr>
      </w:pPr>
      <w:r w:rsidRPr="00C42BF6">
        <w:rPr>
          <w:rFonts w:ascii="Arial" w:eastAsia="Arial" w:hAnsi="Arial" w:cs="Arial"/>
          <w:b/>
          <w:bCs/>
          <w:color w:val="000000"/>
          <w:sz w:val="24"/>
          <w:szCs w:val="24"/>
        </w:rPr>
        <w:lastRenderedPageBreak/>
        <w:t>SUPPLEMENT</w:t>
      </w:r>
      <w:r w:rsidR="00C6377C" w:rsidRPr="00C42BF6">
        <w:rPr>
          <w:rFonts w:ascii="Arial" w:eastAsia="Arial" w:hAnsi="Arial" w:cs="Arial"/>
          <w:b/>
          <w:bCs/>
          <w:color w:val="000000"/>
          <w:sz w:val="24"/>
          <w:szCs w:val="24"/>
        </w:rPr>
        <w:t>AL</w:t>
      </w:r>
      <w:r w:rsidRPr="00C42BF6">
        <w:rPr>
          <w:rFonts w:ascii="Arial" w:eastAsia="Arial" w:hAnsi="Arial" w:cs="Arial"/>
          <w:b/>
          <w:bCs/>
          <w:color w:val="000000"/>
          <w:sz w:val="24"/>
          <w:szCs w:val="24"/>
        </w:rPr>
        <w:t xml:space="preserve"> TABLES</w:t>
      </w:r>
    </w:p>
    <w:p w14:paraId="5CB88748" w14:textId="77777777" w:rsidR="277E52C9" w:rsidRPr="00C42BF6" w:rsidRDefault="277E52C9" w:rsidP="277E52C9">
      <w:pPr>
        <w:rPr>
          <w:rFonts w:ascii="Arial" w:eastAsia="Arial" w:hAnsi="Arial" w:cs="Arial"/>
          <w:b/>
          <w:bCs/>
          <w:color w:val="000000"/>
        </w:rPr>
      </w:pPr>
    </w:p>
    <w:tbl>
      <w:tblPr>
        <w:tblW w:w="0" w:type="auto"/>
        <w:tblLayout w:type="fixed"/>
        <w:tblLook w:val="06A0" w:firstRow="1" w:lastRow="0" w:firstColumn="1" w:lastColumn="0" w:noHBand="1" w:noVBand="1"/>
      </w:tblPr>
      <w:tblGrid>
        <w:gridCol w:w="3120"/>
        <w:gridCol w:w="3120"/>
        <w:gridCol w:w="3120"/>
      </w:tblGrid>
      <w:tr w:rsidR="00580A30" w:rsidRPr="00C42BF6" w14:paraId="39B89995" w14:textId="77777777" w:rsidTr="00C42BF6">
        <w:trPr>
          <w:trHeight w:val="420"/>
        </w:trPr>
        <w:tc>
          <w:tcPr>
            <w:tcW w:w="936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2AC447" w14:textId="77777777" w:rsidR="277E52C9" w:rsidRPr="00C42BF6" w:rsidRDefault="50C16B6D" w:rsidP="277E52C9">
            <w:pPr>
              <w:rPr>
                <w:rFonts w:ascii="Arial" w:eastAsia="Arial" w:hAnsi="Arial" w:cs="Arial"/>
                <w:color w:val="000000"/>
                <w:sz w:val="24"/>
                <w:szCs w:val="24"/>
              </w:rPr>
            </w:pPr>
            <w:r w:rsidRPr="00C42BF6">
              <w:rPr>
                <w:rFonts w:ascii="Arial" w:eastAsia="Arial" w:hAnsi="Arial" w:cs="Arial"/>
                <w:b/>
                <w:bCs/>
                <w:color w:val="000000"/>
                <w:sz w:val="24"/>
                <w:szCs w:val="24"/>
              </w:rPr>
              <w:t>Supplementary Table S1</w:t>
            </w:r>
            <w:r w:rsidR="00587CD4" w:rsidRPr="00C42BF6">
              <w:rPr>
                <w:rFonts w:ascii="Arial" w:eastAsia="Arial" w:hAnsi="Arial" w:cs="Arial"/>
                <w:b/>
                <w:bCs/>
                <w:color w:val="000000"/>
                <w:sz w:val="24"/>
                <w:szCs w:val="24"/>
              </w:rPr>
              <w:t>:</w:t>
            </w:r>
            <w:r w:rsidRPr="00C42BF6">
              <w:rPr>
                <w:rFonts w:ascii="Arial" w:eastAsia="Arial" w:hAnsi="Arial" w:cs="Arial"/>
                <w:b/>
                <w:bCs/>
                <w:color w:val="000000"/>
                <w:sz w:val="24"/>
                <w:szCs w:val="24"/>
              </w:rPr>
              <w:t xml:space="preserve"> Traditional grain-based rodent chow vs. high-fiber supplemented mouse chow macronutrient comparison.</w:t>
            </w:r>
            <w:r w:rsidRPr="00C42BF6">
              <w:rPr>
                <w:rFonts w:ascii="Arial" w:eastAsia="Arial" w:hAnsi="Arial" w:cs="Arial"/>
                <w:color w:val="000000"/>
                <w:sz w:val="24"/>
                <w:szCs w:val="24"/>
              </w:rPr>
              <w:t xml:space="preserve"> </w:t>
            </w:r>
          </w:p>
        </w:tc>
      </w:tr>
      <w:tr w:rsidR="00580A30" w:rsidRPr="00C42BF6" w14:paraId="75277494" w14:textId="77777777" w:rsidTr="00C42BF6">
        <w:trPr>
          <w:trHeight w:val="300"/>
        </w:trPr>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E8AF09" w14:textId="77777777" w:rsidR="277E52C9" w:rsidRPr="00C42BF6" w:rsidRDefault="277E52C9">
            <w:pPr>
              <w:rPr>
                <w:rFonts w:ascii="Arial" w:hAnsi="Arial" w:cs="Arial"/>
                <w:color w:val="000000"/>
              </w:rPr>
            </w:pPr>
            <w:r w:rsidRPr="00C42BF6">
              <w:rPr>
                <w:rFonts w:ascii="Arial" w:hAnsi="Arial" w:cs="Arial"/>
                <w:color w:val="000000"/>
              </w:rPr>
              <w:br/>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8FD82A" w14:textId="77777777" w:rsidR="277E52C9" w:rsidRPr="00C42BF6" w:rsidRDefault="277E52C9">
            <w:pPr>
              <w:rPr>
                <w:rFonts w:ascii="Arial" w:hAnsi="Arial" w:cs="Arial"/>
                <w:b/>
                <w:bCs/>
                <w:color w:val="000000"/>
              </w:rPr>
            </w:pPr>
            <w:r w:rsidRPr="00C42BF6">
              <w:rPr>
                <w:rFonts w:ascii="Arial" w:eastAsia="Arial" w:hAnsi="Arial" w:cs="Arial"/>
                <w:b/>
                <w:bCs/>
                <w:color w:val="000000"/>
              </w:rPr>
              <w:t>Traditional Grain-Based Rodent Chow (7917)</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64B2AE" w14:textId="77777777" w:rsidR="277E52C9" w:rsidRPr="00C42BF6" w:rsidRDefault="277E52C9">
            <w:pPr>
              <w:rPr>
                <w:rFonts w:ascii="Arial" w:hAnsi="Arial" w:cs="Arial"/>
                <w:b/>
                <w:bCs/>
                <w:color w:val="000000"/>
              </w:rPr>
            </w:pPr>
            <w:r w:rsidRPr="00C42BF6">
              <w:rPr>
                <w:rFonts w:ascii="Arial" w:eastAsia="Arial" w:hAnsi="Arial" w:cs="Arial"/>
                <w:b/>
                <w:bCs/>
                <w:color w:val="000000"/>
              </w:rPr>
              <w:t>High-fiber Rodent Chow (7917 supplemented with 7.5% inulin)</w:t>
            </w:r>
          </w:p>
        </w:tc>
      </w:tr>
      <w:tr w:rsidR="00580A30" w:rsidRPr="00C42BF6" w14:paraId="4716B15B" w14:textId="77777777" w:rsidTr="00C42BF6">
        <w:trPr>
          <w:trHeight w:val="300"/>
        </w:trPr>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B05AE3" w14:textId="77777777" w:rsidR="277E52C9" w:rsidRPr="00C42BF6" w:rsidRDefault="277E52C9">
            <w:pPr>
              <w:rPr>
                <w:rFonts w:ascii="Arial" w:hAnsi="Arial" w:cs="Arial"/>
                <w:color w:val="000000"/>
              </w:rPr>
            </w:pPr>
            <w:r w:rsidRPr="00C42BF6">
              <w:rPr>
                <w:rFonts w:ascii="Arial" w:eastAsia="Arial" w:hAnsi="Arial" w:cs="Arial"/>
                <w:color w:val="000000"/>
              </w:rPr>
              <w:t>Energy Density (kcal / gram)</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9B7986" w14:textId="77777777" w:rsidR="277E52C9" w:rsidRPr="00C42BF6" w:rsidRDefault="00A37BA1" w:rsidP="277E52C9">
            <w:pPr>
              <w:jc w:val="center"/>
              <w:rPr>
                <w:rFonts w:ascii="Arial" w:hAnsi="Arial" w:cs="Arial"/>
                <w:color w:val="000000"/>
              </w:rPr>
            </w:pPr>
            <w:r w:rsidRPr="00C42BF6">
              <w:rPr>
                <w:rFonts w:ascii="Arial" w:hAnsi="Arial" w:cs="Arial"/>
                <w:color w:val="000000"/>
              </w:rPr>
              <w:t>3.0</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91F953" w14:textId="77777777" w:rsidR="277E52C9" w:rsidRPr="00C42BF6" w:rsidRDefault="00A37BA1" w:rsidP="277E52C9">
            <w:pPr>
              <w:jc w:val="center"/>
              <w:rPr>
                <w:rFonts w:ascii="Arial" w:hAnsi="Arial" w:cs="Arial"/>
                <w:color w:val="000000"/>
              </w:rPr>
            </w:pPr>
            <w:r w:rsidRPr="00C42BF6">
              <w:rPr>
                <w:rFonts w:ascii="Arial" w:hAnsi="Arial" w:cs="Arial"/>
                <w:color w:val="000000"/>
              </w:rPr>
              <w:t>2.9</w:t>
            </w:r>
          </w:p>
        </w:tc>
      </w:tr>
      <w:tr w:rsidR="00580A30" w:rsidRPr="00C42BF6" w14:paraId="492550E9" w14:textId="77777777" w:rsidTr="00C42BF6">
        <w:trPr>
          <w:trHeight w:val="300"/>
        </w:trPr>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9EBF7B" w14:textId="77777777" w:rsidR="277E52C9" w:rsidRPr="00C42BF6" w:rsidRDefault="277E52C9" w:rsidP="277E52C9">
            <w:pPr>
              <w:rPr>
                <w:rFonts w:ascii="Arial" w:eastAsia="Arial" w:hAnsi="Arial" w:cs="Arial"/>
                <w:color w:val="000000"/>
              </w:rPr>
            </w:pPr>
            <w:r w:rsidRPr="00C42BF6">
              <w:rPr>
                <w:rFonts w:ascii="Arial" w:eastAsia="Arial" w:hAnsi="Arial" w:cs="Arial"/>
                <w:color w:val="000000"/>
              </w:rPr>
              <w:t>Protein (% kcal)</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24C035" w14:textId="77777777" w:rsidR="277E52C9" w:rsidRPr="00C42BF6" w:rsidRDefault="00A37BA1" w:rsidP="277E52C9">
            <w:pPr>
              <w:jc w:val="center"/>
              <w:rPr>
                <w:rFonts w:ascii="Arial" w:hAnsi="Arial" w:cs="Arial"/>
                <w:color w:val="000000"/>
              </w:rPr>
            </w:pPr>
            <w:r w:rsidRPr="00C42BF6">
              <w:rPr>
                <w:rFonts w:ascii="Arial" w:hAnsi="Arial" w:cs="Arial"/>
                <w:color w:val="000000"/>
              </w:rPr>
              <w:t>24</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EE61A8" w14:textId="77777777" w:rsidR="277E52C9" w:rsidRPr="00C42BF6" w:rsidRDefault="00A37BA1" w:rsidP="277E52C9">
            <w:pPr>
              <w:jc w:val="center"/>
              <w:rPr>
                <w:rFonts w:ascii="Arial" w:hAnsi="Arial" w:cs="Arial"/>
                <w:color w:val="000000"/>
              </w:rPr>
            </w:pPr>
            <w:r w:rsidRPr="00C42BF6">
              <w:rPr>
                <w:rFonts w:ascii="Arial" w:hAnsi="Arial" w:cs="Arial"/>
                <w:color w:val="000000"/>
              </w:rPr>
              <w:t>23.1</w:t>
            </w:r>
          </w:p>
        </w:tc>
      </w:tr>
      <w:tr w:rsidR="00580A30" w:rsidRPr="00C42BF6" w14:paraId="29F66264" w14:textId="77777777" w:rsidTr="00C42BF6">
        <w:trPr>
          <w:trHeight w:val="300"/>
        </w:trPr>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9DC8CC" w14:textId="77777777" w:rsidR="277E52C9" w:rsidRPr="00C42BF6" w:rsidRDefault="277E52C9" w:rsidP="277E52C9">
            <w:pPr>
              <w:rPr>
                <w:rFonts w:ascii="Arial" w:eastAsia="Arial" w:hAnsi="Arial" w:cs="Arial"/>
                <w:color w:val="000000"/>
              </w:rPr>
            </w:pPr>
            <w:r w:rsidRPr="00C42BF6">
              <w:rPr>
                <w:rFonts w:ascii="Arial" w:eastAsia="Arial" w:hAnsi="Arial" w:cs="Arial"/>
                <w:color w:val="000000"/>
              </w:rPr>
              <w:t>Carbohydrate (% kcal)</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2CFEE5" w14:textId="77777777" w:rsidR="277E52C9" w:rsidRPr="00C42BF6" w:rsidRDefault="00A37BA1" w:rsidP="277E52C9">
            <w:pPr>
              <w:jc w:val="center"/>
              <w:rPr>
                <w:rFonts w:ascii="Arial" w:hAnsi="Arial" w:cs="Arial"/>
                <w:color w:val="000000"/>
              </w:rPr>
            </w:pPr>
            <w:r w:rsidRPr="00C42BF6">
              <w:rPr>
                <w:rFonts w:ascii="Arial" w:hAnsi="Arial" w:cs="Arial"/>
                <w:color w:val="000000"/>
              </w:rPr>
              <w:t>62</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3B674A" w14:textId="77777777" w:rsidR="277E52C9" w:rsidRPr="00C42BF6" w:rsidRDefault="00A37BA1" w:rsidP="00A37BA1">
            <w:pPr>
              <w:jc w:val="center"/>
              <w:rPr>
                <w:rFonts w:ascii="Arial" w:hAnsi="Arial" w:cs="Arial"/>
                <w:color w:val="000000"/>
              </w:rPr>
            </w:pPr>
            <w:r w:rsidRPr="00C42BF6">
              <w:rPr>
                <w:rFonts w:ascii="Arial" w:hAnsi="Arial" w:cs="Arial"/>
                <w:color w:val="000000"/>
              </w:rPr>
              <w:t>63.3</w:t>
            </w:r>
          </w:p>
        </w:tc>
      </w:tr>
      <w:tr w:rsidR="00580A30" w:rsidRPr="00C42BF6" w14:paraId="7AED3F50" w14:textId="77777777" w:rsidTr="00C42BF6">
        <w:trPr>
          <w:trHeight w:val="300"/>
        </w:trPr>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296E5E" w14:textId="77777777" w:rsidR="277E52C9" w:rsidRPr="00C42BF6" w:rsidRDefault="277E52C9" w:rsidP="277E52C9">
            <w:pPr>
              <w:rPr>
                <w:rFonts w:ascii="Arial" w:eastAsia="Arial" w:hAnsi="Arial" w:cs="Arial"/>
                <w:color w:val="000000"/>
              </w:rPr>
            </w:pPr>
            <w:r w:rsidRPr="00C42BF6">
              <w:rPr>
                <w:rFonts w:ascii="Arial" w:eastAsia="Arial" w:hAnsi="Arial" w:cs="Arial"/>
                <w:color w:val="000000"/>
              </w:rPr>
              <w:t>Fat (% kcal)</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BF666" w14:textId="77777777" w:rsidR="277E52C9" w:rsidRPr="00C42BF6" w:rsidRDefault="00A37BA1" w:rsidP="277E52C9">
            <w:pPr>
              <w:jc w:val="center"/>
              <w:rPr>
                <w:rFonts w:ascii="Arial" w:hAnsi="Arial" w:cs="Arial"/>
                <w:color w:val="000000"/>
              </w:rPr>
            </w:pPr>
            <w:r w:rsidRPr="00C42BF6">
              <w:rPr>
                <w:rFonts w:ascii="Arial" w:hAnsi="Arial" w:cs="Arial"/>
                <w:color w:val="000000"/>
              </w:rPr>
              <w:t>14</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A8706A" w14:textId="77777777" w:rsidR="277E52C9" w:rsidRPr="00C42BF6" w:rsidRDefault="00A37BA1" w:rsidP="277E52C9">
            <w:pPr>
              <w:jc w:val="center"/>
              <w:rPr>
                <w:rFonts w:ascii="Arial" w:hAnsi="Arial" w:cs="Arial"/>
                <w:color w:val="000000"/>
              </w:rPr>
            </w:pPr>
            <w:r w:rsidRPr="00C42BF6">
              <w:rPr>
                <w:rFonts w:ascii="Arial" w:hAnsi="Arial" w:cs="Arial"/>
                <w:color w:val="000000"/>
              </w:rPr>
              <w:t>13.6</w:t>
            </w:r>
          </w:p>
        </w:tc>
      </w:tr>
      <w:tr w:rsidR="00580A30" w:rsidRPr="00C42BF6" w14:paraId="71113F5A" w14:textId="77777777" w:rsidTr="00C42BF6">
        <w:trPr>
          <w:trHeight w:val="300"/>
        </w:trPr>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A2D1BA" w14:textId="77777777" w:rsidR="277E52C9" w:rsidRPr="00C42BF6" w:rsidRDefault="277E52C9">
            <w:pPr>
              <w:rPr>
                <w:rFonts w:ascii="Arial" w:hAnsi="Arial" w:cs="Arial"/>
                <w:color w:val="000000"/>
              </w:rPr>
            </w:pPr>
            <w:r w:rsidRPr="00C42BF6">
              <w:rPr>
                <w:rFonts w:ascii="Arial" w:eastAsia="Arial" w:hAnsi="Arial" w:cs="Arial"/>
                <w:color w:val="000000"/>
              </w:rPr>
              <w:t>Natural Detergent Fiber (%w/w)</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54BB8A" w14:textId="77777777" w:rsidR="277E52C9" w:rsidRPr="00C42BF6" w:rsidRDefault="277E52C9" w:rsidP="00F964D6">
            <w:pPr>
              <w:jc w:val="center"/>
              <w:rPr>
                <w:rFonts w:ascii="Arial" w:hAnsi="Arial" w:cs="Arial"/>
                <w:color w:val="000000"/>
              </w:rPr>
            </w:pPr>
            <w:r w:rsidRPr="00C42BF6">
              <w:rPr>
                <w:rFonts w:ascii="Arial" w:hAnsi="Arial" w:cs="Arial"/>
                <w:color w:val="000000"/>
              </w:rPr>
              <w:br/>
            </w:r>
            <w:r w:rsidR="00F964D6" w:rsidRPr="00C42BF6">
              <w:rPr>
                <w:rFonts w:ascii="Arial" w:hAnsi="Arial" w:cs="Arial"/>
                <w:color w:val="000000"/>
              </w:rPr>
              <w:t>13.6</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AB776B" w14:textId="77777777" w:rsidR="277E52C9" w:rsidRPr="00C42BF6" w:rsidRDefault="277E52C9" w:rsidP="00DA6424">
            <w:pPr>
              <w:jc w:val="center"/>
              <w:rPr>
                <w:rFonts w:ascii="Arial" w:hAnsi="Arial" w:cs="Arial"/>
                <w:color w:val="000000"/>
              </w:rPr>
            </w:pPr>
            <w:r w:rsidRPr="00C42BF6">
              <w:rPr>
                <w:rFonts w:ascii="Arial" w:hAnsi="Arial" w:cs="Arial"/>
                <w:color w:val="000000"/>
              </w:rPr>
              <w:br/>
            </w:r>
            <w:r w:rsidR="00DA6424" w:rsidRPr="00C42BF6">
              <w:rPr>
                <w:rFonts w:ascii="Arial" w:hAnsi="Arial" w:cs="Arial"/>
                <w:color w:val="000000"/>
              </w:rPr>
              <w:t>1</w:t>
            </w:r>
            <w:r w:rsidR="004072DF" w:rsidRPr="00C42BF6">
              <w:rPr>
                <w:rFonts w:ascii="Arial" w:hAnsi="Arial" w:cs="Arial"/>
                <w:color w:val="000000"/>
              </w:rPr>
              <w:t>2.7</w:t>
            </w:r>
          </w:p>
        </w:tc>
      </w:tr>
      <w:tr w:rsidR="00580A30" w:rsidRPr="00C42BF6" w14:paraId="0261F0DC" w14:textId="77777777" w:rsidTr="00C42BF6">
        <w:trPr>
          <w:trHeight w:val="300"/>
        </w:trPr>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846B9" w14:textId="77777777" w:rsidR="277E52C9" w:rsidRPr="00C42BF6" w:rsidRDefault="277E52C9">
            <w:pPr>
              <w:rPr>
                <w:rFonts w:ascii="Arial" w:hAnsi="Arial" w:cs="Arial"/>
                <w:color w:val="000000"/>
              </w:rPr>
            </w:pPr>
            <w:r w:rsidRPr="00C42BF6">
              <w:rPr>
                <w:rFonts w:ascii="Arial" w:eastAsia="Arial" w:hAnsi="Arial" w:cs="Arial"/>
                <w:color w:val="000000"/>
              </w:rPr>
              <w:t>Estimated Soluble Fiber (%w/w)</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7DF7C1" w14:textId="77777777" w:rsidR="277E52C9" w:rsidRPr="00C42BF6" w:rsidRDefault="277E52C9" w:rsidP="277E52C9">
            <w:pPr>
              <w:jc w:val="center"/>
              <w:rPr>
                <w:rFonts w:ascii="Arial" w:hAnsi="Arial" w:cs="Arial"/>
                <w:color w:val="000000"/>
              </w:rPr>
            </w:pPr>
            <w:r w:rsidRPr="00C42BF6">
              <w:rPr>
                <w:rFonts w:ascii="Arial" w:eastAsia="Arial" w:hAnsi="Arial" w:cs="Arial"/>
                <w:color w:val="000000"/>
              </w:rPr>
              <w:t>~2-3</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68B12" w14:textId="77777777" w:rsidR="277E52C9" w:rsidRPr="00C42BF6" w:rsidRDefault="277E52C9" w:rsidP="277E52C9">
            <w:pPr>
              <w:jc w:val="center"/>
              <w:rPr>
                <w:rFonts w:ascii="Arial" w:hAnsi="Arial" w:cs="Arial"/>
                <w:color w:val="000000"/>
              </w:rPr>
            </w:pPr>
            <w:r w:rsidRPr="00C42BF6">
              <w:rPr>
                <w:rFonts w:ascii="Arial" w:eastAsia="Arial" w:hAnsi="Arial" w:cs="Arial"/>
                <w:color w:val="000000"/>
              </w:rPr>
              <w:t>~9.5-10.5</w:t>
            </w:r>
          </w:p>
        </w:tc>
      </w:tr>
      <w:tr w:rsidR="277E52C9" w:rsidRPr="00C42BF6" w14:paraId="7C36ABBD" w14:textId="77777777" w:rsidTr="00C42BF6">
        <w:trPr>
          <w:trHeight w:val="420"/>
        </w:trPr>
        <w:tc>
          <w:tcPr>
            <w:tcW w:w="936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61C7B2" w14:textId="77777777" w:rsidR="277E52C9" w:rsidRPr="00C42BF6" w:rsidRDefault="277E52C9">
            <w:pPr>
              <w:rPr>
                <w:rFonts w:ascii="Arial" w:hAnsi="Arial" w:cs="Arial"/>
                <w:color w:val="000000"/>
              </w:rPr>
            </w:pPr>
            <w:r w:rsidRPr="00C42BF6">
              <w:rPr>
                <w:rFonts w:ascii="Arial" w:eastAsia="Arial" w:hAnsi="Arial" w:cs="Arial"/>
                <w:color w:val="000000"/>
              </w:rPr>
              <w:t xml:space="preserve">The high-fiber diet was designed by </w:t>
            </w:r>
            <w:proofErr w:type="spellStart"/>
            <w:r w:rsidRPr="00C42BF6">
              <w:rPr>
                <w:rFonts w:ascii="Arial" w:eastAsia="Arial" w:hAnsi="Arial" w:cs="Arial"/>
                <w:color w:val="000000"/>
              </w:rPr>
              <w:t>Teklad</w:t>
            </w:r>
            <w:proofErr w:type="spellEnd"/>
            <w:r w:rsidRPr="00C42BF6">
              <w:rPr>
                <w:rFonts w:ascii="Arial" w:eastAsia="Arial" w:hAnsi="Arial" w:cs="Arial"/>
                <w:color w:val="000000"/>
              </w:rPr>
              <w:t xml:space="preserve"> Nutritionist: Derek Martin, PhD, RD, who also provided estimates for soluble fiber. Only an estimate is available as the traditional diets are not formulated for soluble fiber or tested for it, with the latter being due to lack of standard methodology for doing so. Natural detergent fiber is an estimate of insoluble fiber. A full list of the micro- and macronutrients included in </w:t>
            </w:r>
            <w:proofErr w:type="spellStart"/>
            <w:r w:rsidRPr="00C42BF6">
              <w:rPr>
                <w:rFonts w:ascii="Arial" w:eastAsia="Arial" w:hAnsi="Arial" w:cs="Arial"/>
                <w:color w:val="000000"/>
              </w:rPr>
              <w:t>Inotiv</w:t>
            </w:r>
            <w:proofErr w:type="spellEnd"/>
            <w:r w:rsidRPr="00C42BF6">
              <w:rPr>
                <w:rFonts w:ascii="Arial" w:eastAsia="Arial" w:hAnsi="Arial" w:cs="Arial"/>
                <w:color w:val="000000"/>
              </w:rPr>
              <w:t xml:space="preserve"> 7917 can be found on th</w:t>
            </w:r>
            <w:r w:rsidR="00BB63C3" w:rsidRPr="00C42BF6">
              <w:rPr>
                <w:rFonts w:ascii="Arial" w:eastAsia="Arial" w:hAnsi="Arial" w:cs="Arial"/>
                <w:color w:val="000000"/>
              </w:rPr>
              <w:t>e company</w:t>
            </w:r>
            <w:r w:rsidRPr="00C42BF6">
              <w:rPr>
                <w:rFonts w:ascii="Arial" w:eastAsia="Arial" w:hAnsi="Arial" w:cs="Arial"/>
                <w:color w:val="000000"/>
              </w:rPr>
              <w:t xml:space="preserve"> website (</w:t>
            </w:r>
            <w:hyperlink r:id="rId8">
              <w:r w:rsidRPr="00C42BF6">
                <w:rPr>
                  <w:rStyle w:val="Hyperlink"/>
                  <w:rFonts w:ascii="Arial" w:eastAsia="Arial" w:hAnsi="Arial" w:cs="Arial"/>
                  <w:color w:val="000000"/>
                </w:rPr>
                <w:t>https://www.inotivco.com/rodent-traditional-natural-ingredient-diets</w:t>
              </w:r>
            </w:hyperlink>
            <w:r w:rsidRPr="00C42BF6">
              <w:rPr>
                <w:rFonts w:ascii="Arial" w:eastAsia="Arial" w:hAnsi="Arial" w:cs="Arial"/>
                <w:color w:val="000000"/>
              </w:rPr>
              <w:t xml:space="preserve">). </w:t>
            </w:r>
          </w:p>
        </w:tc>
      </w:tr>
    </w:tbl>
    <w:p w14:paraId="58676BB6" w14:textId="77777777" w:rsidR="277E52C9" w:rsidRPr="00C42BF6" w:rsidRDefault="277E52C9" w:rsidP="277E52C9">
      <w:pPr>
        <w:rPr>
          <w:rFonts w:ascii="Arial" w:hAnsi="Arial" w:cs="Arial"/>
          <w:color w:val="000000"/>
        </w:rPr>
      </w:pPr>
    </w:p>
    <w:p w14:paraId="129C19A2" w14:textId="77777777" w:rsidR="277E52C9" w:rsidRPr="00C42BF6" w:rsidRDefault="277E52C9">
      <w:pPr>
        <w:rPr>
          <w:rFonts w:ascii="Arial" w:hAnsi="Arial" w:cs="Arial"/>
          <w:color w:val="000000"/>
        </w:rPr>
      </w:pPr>
      <w:r w:rsidRPr="00C42BF6">
        <w:rPr>
          <w:rFonts w:ascii="Arial" w:hAnsi="Arial" w:cs="Arial"/>
          <w:color w:val="000000"/>
        </w:rPr>
        <w:br w:type="page"/>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785"/>
        <w:gridCol w:w="7545"/>
      </w:tblGrid>
      <w:tr w:rsidR="00580A30" w:rsidRPr="00C42BF6" w14:paraId="7940DD4F" w14:textId="77777777" w:rsidTr="1FC84CC2">
        <w:trPr>
          <w:trHeight w:val="585"/>
        </w:trPr>
        <w:tc>
          <w:tcPr>
            <w:tcW w:w="933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9020A4" w14:textId="77777777" w:rsidR="277E52C9" w:rsidRPr="00C42BF6" w:rsidRDefault="277E52C9" w:rsidP="277E52C9">
            <w:pPr>
              <w:rPr>
                <w:rFonts w:ascii="Arial" w:eastAsia="Arial" w:hAnsi="Arial" w:cs="Arial"/>
                <w:color w:val="000000"/>
                <w:sz w:val="24"/>
                <w:szCs w:val="24"/>
              </w:rPr>
            </w:pPr>
            <w:r w:rsidRPr="00C42BF6">
              <w:rPr>
                <w:rFonts w:ascii="Arial" w:eastAsia="Arial" w:hAnsi="Arial" w:cs="Arial"/>
                <w:b/>
                <w:bCs/>
                <w:color w:val="000000"/>
                <w:sz w:val="24"/>
                <w:szCs w:val="24"/>
              </w:rPr>
              <w:lastRenderedPageBreak/>
              <w:t>Supplementary Table S2</w:t>
            </w:r>
            <w:r w:rsidR="00587CD4" w:rsidRPr="00C42BF6">
              <w:rPr>
                <w:rFonts w:ascii="Arial" w:eastAsia="Arial" w:hAnsi="Arial" w:cs="Arial"/>
                <w:b/>
                <w:bCs/>
                <w:color w:val="000000"/>
                <w:sz w:val="24"/>
                <w:szCs w:val="24"/>
              </w:rPr>
              <w:t>:</w:t>
            </w:r>
            <w:r w:rsidRPr="00C42BF6">
              <w:rPr>
                <w:rFonts w:ascii="Arial" w:eastAsia="Arial" w:hAnsi="Arial" w:cs="Arial"/>
                <w:b/>
                <w:bCs/>
                <w:color w:val="000000"/>
                <w:sz w:val="24"/>
                <w:szCs w:val="24"/>
              </w:rPr>
              <w:t xml:space="preserve"> Specific bacteria compiled to create taxa of interest and KEGG ortholog groups. </w:t>
            </w:r>
            <w:r w:rsidRPr="00C42BF6">
              <w:rPr>
                <w:rFonts w:ascii="Arial" w:eastAsia="Arial" w:hAnsi="Arial" w:cs="Arial"/>
                <w:color w:val="000000"/>
                <w:sz w:val="24"/>
                <w:szCs w:val="24"/>
              </w:rPr>
              <w:t> </w:t>
            </w:r>
          </w:p>
        </w:tc>
      </w:tr>
      <w:tr w:rsidR="00580A30" w:rsidRPr="00C42BF6" w14:paraId="54BDF483" w14:textId="77777777" w:rsidTr="1FC84CC2">
        <w:trPr>
          <w:trHeight w:val="1575"/>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772692"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SCFA Producing Bacteria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0F8715" w14:textId="48F692F3" w:rsidR="277E52C9" w:rsidRPr="00C42BF6" w:rsidRDefault="1FC84CC2" w:rsidP="1FC84CC2">
            <w:pPr>
              <w:jc w:val="center"/>
              <w:rPr>
                <w:rFonts w:ascii="Arial" w:eastAsia="Arial" w:hAnsi="Arial" w:cs="Arial"/>
                <w:color w:val="000000"/>
              </w:rPr>
            </w:pPr>
            <w:proofErr w:type="spellStart"/>
            <w:r w:rsidRPr="1FC84CC2">
              <w:rPr>
                <w:rFonts w:ascii="Arial" w:eastAsia="Arial" w:hAnsi="Arial" w:cs="Arial"/>
                <w:i/>
                <w:iCs/>
                <w:color w:val="000000" w:themeColor="text1"/>
              </w:rPr>
              <w:t>Faecalibacterium</w:t>
            </w:r>
            <w:proofErr w:type="spellEnd"/>
            <w:r w:rsidRPr="1FC84CC2">
              <w:rPr>
                <w:rFonts w:ascii="Arial" w:eastAsia="Arial" w:hAnsi="Arial" w:cs="Arial"/>
                <w:i/>
                <w:iCs/>
                <w:color w:val="000000" w:themeColor="text1"/>
              </w:rPr>
              <w:t xml:space="preserve"> prausnitzi</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{"citationID":"yoyQYQuR","properties":{"formattedCitation":"\\super 27\\uc0\\u8211{}29\\nosupersub{}","plainCitation":"27–29","noteIndex":0},"citationItems":[{"id":2826,"uris":["http://zotero.org/users/local/6BakpO76/items/SYALLJAG"],"itemData":{"id":2826,"type":"article-journal","abstract":"A decrease in the abundance and biodiversity of intestinal bacteria within the dominant phylum Firmicutes has been observed repeatedly in Crohn disease (CD) patients. In this study, we determined the composition of the mucosa-associated microbiota of CD patients at the time of surgical resection and 6 months later using FISH analysis. We found that a reduction of a major member of Firmicutes, Faecalibacterium prausnitzii, is associated with a higher risk of postoperative recurrence of ileal CD. A lower proportion of F. prausnitzii on resected ileal Crohn mucosa also was associated with endoscopic recurrence at 6 months. To evaluate the immunomodulatory properties of F. prausnitzii we analyzed the anti-inflammatory effects of F. prausnitzii in both in vitro (cellular models) and in vivo [2,4,6-trinitrobenzenesulphonic acid (TNBS)-induced] colitis in mice. In Caco-2 cells transfected with a reporter gene for NF-kappaB activity, F. prausnitzii had no effect on IL-1beta-induced NF-kappaB activity, whereas the supernatant abolished it. In vitro peripheral blood mononuclear cell stimulation by F. prausnitzii led to significantly lower IL-12 and IFN-gamma production levels and higher secretion of IL-10. Oral administration of either live F. prausnitzii or its supernatant markedly reduced the severity of TNBS colitis and tended to correct the dysbiosis associated with TNBS colitis, as demonstrated by real-time quantitative PCR (qPCR) analysis. F. prausnitzii exhibits anti-inflammatory effects on cellular and TNBS colitis models, partly due to secreted metabolites able to block NF-kappaB activation and IL-8 production. These results suggest that counterbalancing dysbiosis using F. prausnitzii as a probiotic is a promising strategy in CD treatment.","container-title":"Proceedings of the National Academy of Sciences of the United States of America","DOI":"10.1073/pnas.0804812105","ISSN":"1091-6490","issue":"43","journalAbbreviation":"Proc Natl Acad Sci U S A","language":"eng","note":"PMID: 18936492\nPMCID: PMC2575488","page":"16731-16736","source":"PubMed","title":"Faecalibacterium prausnitzii is an anti-inflammatory commensal bacterium identified by gut microbiota analysis of Crohn disease patients","volume":"105","author":[{"family":"Sokol","given":"Harry"},{"family":"Pigneur","given":"Bénédicte"},{"family":"Watterlot","given":"Laurie"},{"family":"Lakhdari","given":"Omar"},{"family":"Bermúdez-Humarán","given":"Luis G."},{"family":"Gratadoux","given":"Jean-Jacques"},{"family":"Blugeon","given":"Sébastien"},{"family":"Bridonneau","given":"Chantal"},{"family":"Furet","given":"Jean-Pierre"},{"family":"Corthier","given":"Gérard"},{"family":"Grangette","given":"Corinne"},{"family":"Vasquez","given":"Nadia"},{"family":"Pochart","given":"Philippe"},{"family":"Trugnan","given":"Germain"},{"family":"Thomas","given":"Ginette"},{"family":"Blottière","given":"Hervé M."},{"family":"Doré","given":"Joël"},{"family":"Marteau","given":"Philippe"},{"family":"Seksik","given":"Philippe"},{"family":"Langella","given":"Philippe"}],"issued":{"date-parts":[["2008",10,28]]}}},{"id":2829,"uris":["http://zotero.org/users/local/6BakpO76/items/7MK9L2JK"],"itemData":{"id":2829,"type":"article-journal","abstract":"Butyrate-producing bacteria play a key role in colonic health in humans. This review provides an overview of the current knowledge of the diversity, metabolism and microbial ecology of this functionally important group of bacteria. Human colonic butyrate producers are Gram-positive firmicutes, but are phylogenetically diverse, with the two most abundant groups related to Eubacterium rectale/Roseburia spp. and to Faecalibacterium prausnitzii. Five different arrangements have been identified for the genes of the central pathway involved in butyrate synthesis, while in most cases butyryl-CoA : acetate CoA-transferase, rather than butyrate kinase, appears to perform the final step in butyrate synthesis. Mechanisms have been proposed recently in non-gut Clostridium spp. whereby butyrate synthesis can result in energy generation via both substrate-level phosphorylation and proton gradients. Here we suggest that these mechanisms also apply to the majority of butyrate producers from the human colon. The roles of these bacteria in the gut community and their influence on health are now being uncovered, taking advantage of the availability of cultured isolates and molecular methodologies. Populations of F. prausnitzii are reported to be decreased in Crohn's disease, for example, while populations of Roseburia relatives appear to be particularly sensitive to the diet composition in human volunteer studies.","container-title":"FEMS microbiology letters","DOI":"10.1111/j.1574-6968.2009.01514.x","ISSN":"1574-6968","issue":"1","journalAbbreviation":"FEMS Microbiol Lett","language":"eng","note":"PMID: 19222573","page":"1-8","source":"PubMed","title":"Diversity, metabolism and microbial ecology of butyrate-producing bacteria from the human large intestine","volume":"294","author":[{"family":"Louis","given":"Petra"},{"family":"Flint","given":"Harry J."}],"issued":{"date-parts":[["2009",5]]}}},{"id":2832,"uris":["http://zotero.org/users/local/6BakpO76/items/X9MQ5EUL"],"itemData":{"id":2832,"type":"article-journal","abstract":"Two newly isolated strains of obligately anaerobic bacteria from human faeces are shown here to be related to Fusobacterium prausnitzii, which is regarded as one of the most abundant colonizers of the human colon. These strains, along with Fusobacterium prausnitzii ATCC 27768(T) and 27766, are non-motile and produce butyrate, formate and lactate, but not hydrogen as fermentation products. A new finding is that all four strains produce D-lactate, but not L-lactate. The strains have a requirement for acetate in the growth medium and this may account for the previously reported requirement for rumen fluid. The DNA G+C content of the four strains is 47-57 mol%. Together with phylogenetic analysis based on 16S rRNA sequencing, this establishes that Fusobacterium prausnitzii strains are only distantly related to Fusobacterium sensu stricto and are more closely related to members of Clostridium cluster IV (the Clostridium leptum group). It is proposed that a new genus, Faecalibacterium gen. nov. be created; this genus should include Faecalibacterium prausnitzii gen. nov., comb. nov. ATCC 27768(T) (= NCIMB 13872(T)) (formerly Fusobacterium prausnitzii) as the type species together with ATCC 27766 and the newly isolated strains A2-165 and L2-6.","container-title":"International Journal of Systematic and Evolutionary Microbiology","DOI":"10.1099/00207713-52-6-2141","ISSN":"1466-5026","issue":"Pt 6","journalAbbreviation":"Int J Syst Evol Microbiol","language":"eng","note":"PMID: 12508881","page":"2141-2146","source":"PubMed","title":"Growth requirements and fermentation products of Fusobacterium prausnitzii, and a proposal to reclassify it as Faecalibacterium prausnitzii gen. nov., comb. nov","volume":"52","author":[{"family":"Duncan","given":"Sylvia H."},{"family":"Hold","given":"Georgina L."},{"family":"Harmsen","given":"Hermie J. M."},{"family":"Stewart","given":"Colin S."},{"family":"Flint","given":"Harry J."}],"issued":{"date-parts":[["2002",11]]}}}],"schema":"https://github.com/citation-style-language/schema/raw/master/csl-citation.json"}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27–29</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i | Bacteroides thetaiotaomicron</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{"citationID":"k6bNzSFp","properties":{"formattedCitation":"\\super 30,30\\uc0\\u8211{}35\\nosupersub{}","plainCitation":"30,30–35","noteIndex":0},"citationItems":[{"id":2959,"uris":["http://zotero.org/users/local/6BakpO76/items/R2XSMMDA"],"itemData":{"id":2959,"type":"article-journal","abstract":"BACKGROUND: The intestinal mucus layer plays a key role in the maintenance of host-microbiota homeostasis. To document the crosstalk between the host and microbiota, we used gnotobiotic models to study the influence of two major commensal bacteria, Bacteroides thetaiotaomicron and Faecalibacterium prausnitzii, on this intestinal mucus layer. B. thetaiotaomicron is known to use polysaccharides from mucus, but its effect on goblet cells has not been addressed so far. F. prausnitzii is of particular physiological importance because it can be considered as a sensor and a marker of human health. We determined whether B. thetaiotaomicron affected goblet cell differentiation, mucin synthesis and glycosylation in the colonic epithelium. We then investigated how F. prausnitzii influenced the colonic epithelial responses to B. thetaiotaomicron.\nRESULTS: B. thetaiotaomicron, an acetate producer, increased goblet cell differentiation, expression of mucus-related genes and the ratio of sialylated to sulfated mucins in mono-associated rats. B. thetaiotaomicron, therefore, stimulates the secretory lineage, favoring mucus production. When B. thetaiotaomicron was associated with F. prausnitzii, an acetate consumer and a butyrate producer, the effects on goblet cells and mucin glycosylation were diminished. F. prausnitzii, by attenuating the effects of B. thetaiotaomicron on mucus, may help the epithelium to maintain appropriate proportions of different cell types of the secretory lineage. Using a mucus-producing cell line, we showed that acetate up-regulated KLF4, a transcription factor involved in goblet cell differentiation.\nCONCLUSIONS: B. thetaiotaomicron and F. prausnitzii, which are metabolically complementary, modulate, in vivo, the intestinal mucus barrier by modifying goblet cells and mucin glycosylation. Our study reveals the importance of the balance between two main commensal bacteria in maintaining colonic epithelial homeostasis via their respective effects on mucus.","container-title":"BMC biology","DOI":"10.1186/1741-7007-11-61","ISSN":"1741-7007","journalAbbreviation":"BMC Biol","language":"eng","note":"PMID: 23692866\nPMCID: PMC3673873","page":"61","source":"PubMed","title":"Bacteroides thetaiotaomicron and Faecalibacterium prausnitzii influence the production of mucus glycans and the development of goblet cells in the colonic epithelium of a gnotobiotic model rodent","volume":"11","author":[{"family":"Wrzosek","given":"Laura"},{"family":"Miquel","given":"Sylvie"},{"family":"Noordine","given":"Marie-Louise"},{"family":"Bouet","given":"Stephan"},{"family":"Joncquel Chevalier-Curt","given":"Marie"},{"family":"Robert","given":"Véronique"},{"family":"Philippe","given":"Catherine"},{"family":"Bridonneau","given":"Chantal"},{"family":"Cherbuy","given":"Claire"},{"family":"Robbe-Masselot","given":"Catherine"},{"family":"Langella","given":"Philippe"},{"family":"Thomas","given":"Muriel"}],"issued":{"date-parts":[["2013",5,21]]}}},{"id":2959,"uris":["http://zotero.org/users/local/6BakpO76/items/R2XSMMDA"],"itemData":{"id":2959,"type":"article-journal","abstract":"BACKGROUND: The intestinal mucus layer plays a key role in the maintenance of host-microbiota homeostasis. To document the crosstalk between the host and microbiota, we used gnotobiotic models to study the influence of two major commensal bacteria, Bacteroides thetaiotaomicron and Faecalibacterium prausnitzii, on this intestinal mucus layer. B. thetaiotaomicron is known to use polysaccharides from mucus, but its effect on goblet cells has not been addressed so far. F. prausnitzii is of particular physiological importance because it can be considered as a sensor and a marker of human health. We determined whether B. thetaiotaomicron affected goblet cell differentiation, mucin synthesis and glycosylation in the colonic epithelium. We then investigated how F. prausnitzii influenced the colonic epithelial responses to B. thetaiotaomicron.\nRESULTS: B. thetaiotaomicron, an acetate producer, increased goblet cell differentiation, expression of mucus-related genes and the ratio of sialylated to sulfated mucins in mono-associated rats. B. thetaiotaomicron, therefore, stimulates the secretory lineage, favoring mucus production. When B. thetaiotaomicron was associated with F. prausnitzii, an acetate consumer and a butyrate producer, the effects on goblet cells and mucin glycosylation were diminished. F. prausnitzii, by attenuating the effects of B. thetaiotaomicron on mucus, may help the epithelium to maintain appropriate proportions of different cell types of the secretory lineage. Using a mucus-producing cell line, we showed that acetate up-regulated KLF4, a transcription factor involved in goblet cell differentiation.\nCONCLUSIONS: B. thetaiotaomicron and F. prausnitzii, which are metabolically complementary, modulate, in vivo, the intestinal mucus barrier by modifying goblet cells and mucin glycosylation. Our study reveals the importance of the balance between two main commensal bacteria in maintaining colonic epithelial homeostasis via their respective effects on mucus.","container-title":"BMC biology","DOI":"10.1186/1741-7007-11-61","ISSN":"1741-7007","journalAbbreviation":"BMC Biol","language":"eng","note":"PMID: 23692866\nPMCID: PMC3673873","page":"61","source":"PubMed","title":"Bacteroides thetaiotaomicron and Faecalibacterium prausnitzii influence the production of mucus glycans and the development of goblet cells in the colonic epithelium of a gnotobiotic model rodent","volume":"11","author":[{"family":"Wrzosek","given":"Laura"},{"family":"Miquel","given":"Sylvie"},{"family":"Noordine","given":"Marie-Louise"},{"family":"Bouet","given":"Stephan"},{"family":"Joncquel Chevalier-Curt","given":"Marie"},{"family":"Robert","given":"Véronique"},{"family":"Philippe","given":"Catherine"},{"family":"Bridonneau","given":"Chantal"},{"family":"Cherbuy","given":"Claire"},{"family":"Robbe-Masselot","given":"Catherine"},{"family":"Langella","given":"Philippe"},{"family":"Thomas","given":"Muriel"}],"issued":{"date-parts":[["2013",5,21]]}}},{"id":2968,"uris":["http://zotero.org/users/local/6BakpO76/items/K75AJD95"],"itemData":{"id":2968,"type":"article-journal","abstract":"Understanding how members of the human gut microbiota prioritize nutrient resources is one component of a larger effort to decipher the mechanisms defining microbial community robustness and resiliency in health and disease. This knowledge is foundational for development of microbiota-directed therapeutics. To model how bacteria prioritize glycans in the gut, germfree mice were colonized with 13 human gut bacterial strains, including seven saccharolytic Bacteroidaceae species. Animals were fed a Western diet supplemented with pea fiber. After community assembly, an inducible CRISPR-based system was used to selectively and temporarily reduce the absolute abundance of Bacteroides thetaiotaomicron or B. cellulosilyticus by 10- to 60-fold. Each knockdown resulted in specific, reproducible increases in the abundances of other Bacteroidaceae and dynamic alterations in their expression of genes involved in glycan utilization. Emergence of these \"alternate consumers\" was associated with preservation of community saccharolytic activity. Using an inducible system for CRISPR base editing in vitro, we disrupted translation of transporters critical for utilizing dietary polysaccharides in Phocaeicola vulgatus, a B. cellulosilyticus knockdown-responsive taxon. In vitro and in vivo tests of the resulting P. vulgatus mutants allowed us to further characterize mechanisms associated with its increased fitness after knockdown. In principle, the approach described can be applied to study utilization of a range of nutrients and to preclinical efforts designed to develop therapeutic strategies for precision manipulation of microbial communities.","container-title":"Proceedings of the National Academy of Sciences of the United States of America","DOI":"10.1073/pnas.2311422120","ISSN":"1091-6490","issue":"39","journalAbbreviation":"Proc Natl Acad Sci U S A","language":"eng","note":"PMID: 37733741\nPMCID: PMC10523453","page":"e2311422120","source":"PubMed","title":"Inducible CRISPR-targeted \"knockdown\" of human gut Bacteroides in gnotobiotic mice discloses glycan utilization strategies","volume":"120","author":[{"family":"Beller","given":"Zachary W."},{"family":"Wesener","given":"Darryl A."},{"family":"Seebeck","given":"Timothy R."},{"family":"Guruge","given":"Janaki L."},{"family":"Byrne","given":"Alexandra E."},{"family":"Henrissat","given":"Suzanne"},{"family":"Terrapon","given":"Nicolas"},{"family":"Henrissat","given":"Bernard"},{"family":"Rodionov","given":"Dmitry A."},{"family":"Osterman","given":"Andrei L."},{"family":"Suarez","given":"Chris"},{"family":"Bacalzo","given":"Nikita P."},{"family":"Chen","given":"Ye"},{"family":"Couture","given":"Garret"},{"family":"Lebrilla","given":"Carlito B."},{"family":"Zhang","given":"Zhigang"},{"family":"Eastlund","given":"Erik R."},{"family":"McCann","given":"Caitlin H."},{"family":"Davis","given":"Gregory D."},{"family":"Gordon","given":"Jeffrey I."}],"issued":{"date-parts":[["2023",9,26]]}}},{"id":2965,"uris":["http://zotero.org/users/local/6BakpO76/items/MP7I2WJW"],"itemData":{"id":2965,"type":"article-journal","abstract":"Bacterial growth often alters the environment, which in turn can impact interspecies interactions among bacteria. Here, we used an in vitro batch system containing mucin beads to emulate the dynamic host environment and to study its impact on the interactions between two abundant and prevalent human gut bacteria, the primary fermenter Bacteroides thetaiotaomicron and the butyrate producer Roseburia intestinalis. By combining machine learning and flow cytometry, we found that the number of viable B. thetaiotaomicron cells decreases with glucose consumption due to acid production, while R. intestinalis survives post-glucose depletion by entering a slow growth mode. Both species attach to mucin beads, but only viable cell counts of B. thetaiotaomicron increase significantly. The number of viable co-culture cells varies significantly over time compared to those of monocultures. A combination of targeted metabolomics and RNA-seq showed that the slow growth mode of R. intestinalis represents a diauxic shift towards acetate and lactate consumption, whereas B. thetaiotaomicron survives glucose depletion and low pH by foraging on mucin sugars. In addition, most of the mucin monosaccharides we tested inhibited the growth of R. intestinalis but not B. thetaiotaomicron. We encoded these causal relationships in a kinetic model, which reproduced the observed dynamics. In summary, we explored how R. intestinalis and B. thetaiotaomicron respond to nutrient scarcity and how this affects their dynamics. We highlight the importance of understanding bacterial metabolic strategies to effectively modulate microbial dynamics in changing conditions.","container-title":"The ISME journal","DOI":"10.1038/s41396-023-01501-1","ISSN":"1751-7370","issue":"11","journalAbbreviation":"ISME J","language":"eng","note":"PMID: 37670028\nPMCID: PMC10579405","page":"1940-1952","source":"PubMed","title":"Starvation responses impact interaction dynamics of human gut bacteria Bacteroides thetaiotaomicron and Roseburia intestinalis","volume":"17","author":[{"family":"Liu","given":"Bin"},{"family":"Garza","given":"Daniel Rios"},{"family":"Gonze","given":"Didier"},{"family":"Krzynowek","given":"Anna"},{"family":"Simoens","given":"Kenneth"},{"family":"Bernaerts","given":"Kristel"},{"family":"Geirnaert","given":"Annelies"},{"family":"Faust","given":"Karoline"}],"issued":{"date-parts":[["2023",11]]}}},{"id":2962,"uris":["http://zotero.org/users/local/6BakpO76/items/NC3KW9G9"],"itemData":{"id":2962,"type":"article-journal","abstract":"The enteric pathogen enterohemorrhagic Escherichia coli (EHEC) causes severe diarrhea, but the influence of the gut microbiota on EHEC infection is largely unknown. A predominant member of the microbiota, Bacteroides thetaiotaomicron (Bt), is resident at EHEC attachment sites. We show that Bt enhances EHEC virulence gene expression through the transcription factor Cra, which is functionally sensitive to sugar concentrations. This enhanced virulence accompanies increased formation of attaching and effacing (AE) lesions requisite for EHEC colonization. Infection with Citrobacter rodentium, a natural mouse pathogen homologous to EHEC, in Bt-reconstituted mice results in increased gut permeability along with exacerbated host pathology and mortality compared to mice deplete of microflora. Bt modifies the metabolite environment at infection sites, increasing metabolites involved in gluconeogenesis, with stark increases in succinate, which can be sensed by Cra. Our findings suggest that microbiota composition affects disease outcome and may explain links between microbiota composition and disease susceptibility.","container-title":"Cell Host &amp; Microbe","DOI":"10.1016/j.chom.2014.11.005","ISSN":"1934-6069","issue":"6","journalAbbreviation":"Cell Host Microbe","language":"eng","note":"PMID: 25498343\nPMCID: PMC4269104","page":"759-769","source":"PubMed","title":"The gut commensal Bacteroides thetaiotaomicron exacerbates enteric infection through modification of the metabolic landscape","volume":"16","author":[{"family":"Curtis","given":"Meredith M."},{"family":"Hu","given":"Zeping"},{"family":"Klimko","given":"Claire"},{"family":"Narayanan","given":"Sanjeev"},{"family":"Deberardinis","given":"Ralph"},{"family":"Sperandio","given":"Vanessa"}],"issued":{"date-parts":[["2014",12,10]]}}},{"id":2956,"uris":["http://zotero.org/users/local/6BakpO76/items/3DPC7HCY"],"itemData":{"id":2956,"type":"article-journal","abstract":"Humans and other mammals are colonized by a vast, complex, and dynamic consortium of microorganisms. One evolutionary driving force for maintaining this metabolically active microbial society is to salvage energy from nutrients, particularly carbohydrates, that are otherwise nondigestible by the host. Much of our understanding of the molecular mechanisms by which members of the intestinal microbiota degrade complex polysaccharides comes from studies of Bacteroides thetaiotaomicron, a prominent and genetically manipulatable component of the normal human and mouse gut. Colonization of germ-free mice with B. thetaiotaomicron has shown how this anaerobe modifies many aspects of intestinal cellular differentiation/gene expression to benefit both host and microbe. These and other studies underscore the importance of understanding precisely how nutrient metabolism serves to establish and sustain symbiotic relationships between mammals and their bacterial partners.","container-title":"Annual Review of Nutrition","DOI":"10.1146/annurev.nutr.22.011602.092259","ISSN":"0199-9885","journalAbbreviation":"Annu Rev Nutr","language":"eng","note":"PMID: 12055347","page":"283-307","source":"PubMed","title":"How host-microbial interactions shape the nutrient environment of the mammalian intestine","volume":"22","author":[{"family":"Hooper","given":"Lora V."},{"family":"Midtvedt","given":"Tore"},{"family":"Gordon","given":"Jeffrey I."}],"issued":{"date-parts":[["2002"]]}}},{"id":2954,"uris":["http://zotero.org/users/local/6BakpO76/items/FKE5VHGU"],"itemData":{"id":2954,"type":"article-journal","abstract":"Gut microbes have critical roles in maintaining host physiology, but their effects on epithelial chemosensory enteroendocrine cells (EEC) remain unclear. We investigated the role that the ubiquitous commensal gut bacterium Bacteriodes thetaiotaomicron (Bt) and its major fermentation products, acetate, propionate, and succinate (APS) have in shaping EEC networks in the murine gastrointestinal tract (GIT). The distribution and numbers of EEC populations were assessed in tissues along the GIT by fluorescent immunohistochemistry in specific pathogen free (SPF), germfree (GF) mice, GF mice conventionalized by Bt or Lactobacillus reuteri (Lr), and GF mice administered APS. In parallel, we also assessed the suitability of using intestinal crypt-derived epithelial monolayer cultures for these studies. GF mice up-regulated their EEC network, in terms of a general EEC marker chromogranin A (ChrA) expression, numbers of serotonin-producing enterochromaffin cells, and both hormone-producing K- and L-cells, with a corresponding increase in serum glucagon-like peptide-1 (GLP-1) levels. Bt conventionalization restored EEC numbers to levels in SPF mice with regional specificity; the effects on ChrA and L-cells were mainly in the small intestine, the effects on K-cells and EC cells were most apparent in the colon. By contrast, Lr did not restore EEC networks in conventionalized GF mice. Analysis of secretory epithelial cell monolayer cultures from whole small intestine showed that intestinal monolayers are variable and with the possible exclusion of GIP expressing cells, did not accurately reflect the EEC cell makeup seen in vivo. Regarding the mechanism of action of Bt on EECs, colonization of GF mice with Bt led to the production and accumulation of acetate, propionate and succinate (APS) in the caecum and colon, which when administered at physiological concentrations to GF mice via their drinking water for 10 days mimicked to a large extent the effects of Bt in GF mice. After withdrawal of APS, the changes in some EEC were maintained and, in some cases, were greater than during APS treatment. This data provides evidence of microbiota influences on regulating EEC networks in different regions of the GIT, with a single microbe, Bt, recapitulating its role in a process that may be dependent upon its fermentation products.","container-title":"Frontiers in Microbiology","DOI":"10.3389/fmicb.2020.575595","ISSN":"1664-302X","journalAbbreviation":"Front Microbiol","language":"eng","note":"PMID: 33240233\nPMCID: PMC7677362","page":"575595","source":"PubMed","title":"Regulation of Enteroendocrine Cell Networks by the Major Human Gut Symbiont Bacteroides thetaiotaomicron","volume":"11","author":[{"family":"Modasia","given":"Amisha"},{"family":"Parker","given":"Aimee"},{"family":"Jones","given":"Emily"},{"family":"Stentz","given":"Regis"},{"family":"Brion","given":"Arlaine"},{"family":"Goldson","given":"Andrew"},{"family":"Defernez","given":"Marianne"},{"family":"Wileman","given":"Tom"},{"family":"Ashley Blackshaw","given":"L."},{"family":"Carding","given":"Simon R."}],"issued":{"date-parts":[["2020"]]}}}],"schema":"https://github.com/citation-style-language/schema/raw/master/csl-citation.json"}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30,30–35</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Roseburia</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{"citationID":"x3nQNHGK","properties":{"formattedCitation":"\\super 36\\uc0\\u8211{}38\\nosupersub{}","plainCitation":"36–38","noteIndex":0},"citationItems":[{"id":2835,"uris":["http://zotero.org/users/local/6BakpO76/items/M5HF3RSC"],"itemData":{"id":2835,"type":"article-journal","abstract":"The composition of the human gut microbiome is well resolved, but predictive understanding of its dynamics is still lacking. Here, we followed a bottom-up strategy to explore human gut community dynamics: we established a synthetic community composed of three representative human gut isolates (Roseburia intestinalis L1-82, Faecalibacterium prausnitzii A2-165 and Blautia hydrogenotrophica S5a33) and explored their interactions under well-controlled conditions in vitro. Systematic mono- and pair-wise fermentation experiments confirmed competition for fructose and cross-feeding of formate. We quantified with a mechanistic model how well tri-culture dynamics was predicted from mono-culture data. With the model as reference, we demonstrated that strains grown in co-culture behaved differently than those in mono-culture and confirmed their altered behavior at the transcriptional level. In addition, we showed with replicate tri-cultures and simulations that dominance in tri-culture sensitively depends on the initial conditions. Our work has important implications for gut microbial community modeling as well as for ecological interaction detection from batch cultures.","container-title":"eLife","DOI":"10.7554/eLife.37090","ISSN":"2050-084X","journalAbbreviation":"Elife","language":"eng","note":"PMID: 30322445\nPMCID: PMC6237439","page":"e37090","source":"PubMed","title":"Integrated culturing, modeling and transcriptomics uncovers complex interactions and emergent behavior in a three-species synthetic gut community","volume":"7","author":[{"family":"D'hoe","given":"Kevin"},{"family":"Vet","given":"Stefan"},{"family":"Faust","given":"Karoline"},{"family":"Moens","given":"Frédéric"},{"family":"Falony","given":"Gwen"},{"family":"Gonze","given":"Didier"},{"family":"Lloréns-Rico","given":"Verónica"},{"family":"Gelens","given":"Lendert"},{"family":"Danckaert","given":"Jan"},{"family":"De Vuyst","given":"Luc"},{"family":"Raes","given":"Jeroen"}],"issued":{"date-parts":[["2018",10,16]]}}},{"id":2838,"uris":["http://zotero.org/users/local/6BakpO76/items/MRNVIAJJ"],"itemData":{"id":2838,"type":"article-journal","abstract":"Seven strains of Roseburia sp., Faecalibacterium prausnitzii, and Coprococcus sp. from the human gut that produce high levels of butyric acid in vitro were studied with respect to key butyrate pathway enzymes and fermentation patterns. Strains of Roseburia sp. and F. prausnitzii possessed butyryl coenzyme A (CoA):acetate-CoA transferase and acetate kinase activities, but butyrate kinase activity was not detectable either in growing or in stationary-phase cultures. Although unable to use acetate as a sole source of energy, these strains showed net utilization of acetate during growth on glucose. In contrast, Coprococcus sp. strain L2-50 is a net producer of acetate and possessed detectable butyrate kinase, acetate kinase, and butyryl-CoA:acetate-CoA transferase activities. These results demonstrate that different functionally distinct groups of butyrate-producing bacteria are present in the human large intestine.","container-title":"Applied and Environmental Microbiology","DOI":"10.1128/AEM.68.10.5186-5190.2002","ISSN":"0099-2240","issue":"10","journalAbbreviation":"Appl Environ Microbiol","language":"eng","note":"PMID: 12324374\nPMCID: PMC126392","page":"5186-5190","source":"PubMed","title":"Acetate utilization and butyryl coenzyme A (CoA):acetate-CoA transferase in butyrate-producing bacteria from the human large intestine","title-short":"Acetate utilization and butyryl coenzyme A (CoA)","volume":"68","author":[{"family":"Duncan","given":"Sylvia H."},{"family":"Barcenilla","given":"Adela"},{"family":"Stewart","given":"Colin S."},{"family":"Pryde","given":"Susan E."},{"family":"Flint","given":"Harry J."}],"issued":{"date-parts":[["2002",10]]}}},{"id":2841,"uris":["http://zotero.org/users/local/6BakpO76/items/DZX7S7KP"],"itemData":{"id":2841,"type":"article-journal","abstract":"Five strains of butyrate-producing, anaerobic, gram-positive bacteria were isolated from human faecal material. These strains were slightly curved rods that showed motility by means of multiple subterminal flagella. The DNA G + C content of the strains was 29-31 mol%. A detailed investigation of the phenotypic and phylogenetic characteristics of the strains revealed that they represent a novel species of anaerobic, low-G+C-content, butyrate-producing bacterium that shows net acetate utilization during growth on media containing carbohydrates and short-chain fatty acids. The 16S rRNA gene sequences of the five isolates were determined and they confirmed that these strains were closely related to each other. Phylogenetic analysis indicated that the most closely related species are Eubacterium rectale, Eubacterium oxidoreducens and Roseburia cecicola, members of cluster XIVa of the Clostridium subphylum of gram-positive bacteria, although they share less than 95% sequence identity with the novel strains. It is proposed that a novel species, Roseburia intestinalis sp. nov., be created, with strain L1-82T (= DSM 14610T = NCIMB 13810T) as the type strain.","container-title":"International Journal of Systematic and Evolutionary Microbiology","DOI":"10.1099/00207713-52-5-1615","ISSN":"1466-5026","issue":"Pt 5","journalAbbreviation":"Int J Syst Evol Microbiol","language":"eng","note":"PMID: 12361264","page":"1615-1620","source":"PubMed","title":"Roseburia intestinalis sp. nov., a novel saccharolytic, butyrate-producing bacterium from human faeces","volume":"52","author":[{"family":"Duncan","given":"Sylvia H."},{"family":"Hold","given":"Georgina L."},{"family":"Barcenilla","given":"Adela"},{"family":"Stewart","given":"Colin S."},{"family":"Flint","given":"Harry J."}],"issued":{"date-parts":[["2002",9]]}}}],"schema":"https://github.com/citation-style-language/schema/raw/master/csl-citation.json"}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36–38</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Roseburia</w:t>
            </w:r>
            <w:proofErr w:type="spellEnd"/>
            <w:r w:rsidRPr="1FC84CC2">
              <w:rPr>
                <w:rFonts w:ascii="Arial" w:eastAsia="Arial" w:hAnsi="Arial" w:cs="Arial"/>
                <w:i/>
                <w:iCs/>
                <w:color w:val="000000" w:themeColor="text1"/>
              </w:rPr>
              <w:t xml:space="preserve"> intestinalis</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{"citationID":"bemYwoaX","properties":{"formattedCitation":"\\super 32,39,40\\nosupersub{}","plainCitation":"32,39,40","noteIndex":0},"citationItems":[{"id":2965,"uris":["http://zotero.org/users/local/6BakpO76/items/MP7I2WJW"],"itemData":{"id":2965,"type":"article-journal","abstract":"Bacterial growth often alters the environment, which in turn can impact interspecies interactions among bacteria. Here, we used an in vitro batch system containing mucin beads to emulate the dynamic host environment and to study its impact on the interactions between two abundant and prevalent human gut bacteria, the primary fermenter Bacteroides thetaiotaomicron and the butyrate producer Roseburia intestinalis. By combining machine learning and flow cytometry, we found that the number of viable B. thetaiotaomicron cells decreases with glucose consumption due to acid production, while R. intestinalis survives post-glucose depletion by entering a slow growth mode. Both species attach to mucin beads, but only viable cell counts of B. thetaiotaomicron increase significantly. The number of viable co-culture cells varies significantly over time compared to those of monocultures. A combination of targeted metabolomics and RNA-seq showed that the slow growth mode of R. intestinalis represents a diauxic shift towards acetate and lactate consumption, whereas B. thetaiotaomicron survives glucose depletion and low pH by foraging on mucin sugars. In addition, most of the mucin monosaccharides we tested inhibited the growth of R. intestinalis but not B. thetaiotaomicron. We encoded these causal relationships in a kinetic model, which reproduced the observed dynamics. In summary, we explored how R. intestinalis and B. thetaiotaomicron respond to nutrient scarcity and how this affects their dynamics. We highlight the importance of understanding bacterial metabolic strategies to effectively modulate microbial dynamics in changing conditions.","container-title":"The ISME journal","DOI":"10.1038/s41396-023-01501-1","ISSN":"1751-7370","issue":"11","journalAbbreviation":"ISME J","language":"eng","note":"PMID: 37670028\nPMCID: PMC10579405","page":"1940-1952","source":"PubMed","title":"Starvation responses impact interaction dynamics of human gut bacteria Bacteroides thetaiotaomicron and Roseburia intestinalis","volume":"17","author":[{"family":"Liu","given":"Bin"},{"family":"Garza","given":"Daniel Rios"},{"family":"Gonze","given":"Didier"},{"family":"Krzynowek","given":"Anna"},{"family":"Simoens","given":"Kenneth"},{"family":"Bernaerts","given":"Kristel"},{"family":"Geirnaert","given":"Annelies"},{"family":"Faust","given":"Karoline"}],"issued":{"date-parts":[["2023",11]]}}},{"id":2987,"uris":["http://zotero.org/users/local/6BakpO76/items/GMH8I7B9"],"itemData":{"id":2987,"type":"article-journal","abstract":"In vitro simulated digestion and fecal fermentation were performed to investigate the influence of mixed grains on gut microbes. In addition, the key metabolic pathways and enzymes associated with short-chain fatty acids (SCFAs) were explored. The mixed grains exhibited an observable regulatory effect on the composition and metabolism of intestinal microorganisms, especially in probiotics, such as Bifidobacterium spp., Lactobacillus spp., and Faecalibacterium spp. WR (wheat + rye), WB (wheat + highland barley) and WO (wheat + oats) tended to generate lactate and acetate, which are related to Sutterella, Staphylococcus, etc. WQ (wheat + quinoa) induced high propionate and butyrate accumulation by consuming lactate and acetate, mainly through Roseburia inulinivorans, Coprococcus catus and Anaerostipes sp., etc. Moreover, bacteria enriched in different mixed grain groups regulated the expression of pivotal enzymes in metabolic pathways and then affected the generation of SCFAs. These results provide new knowledge on the characteristics of intestinal microbial metabolism in different mixed grain substrates.","container-title":"Food Research International (Ottawa, Ont.)","DOI":"10.1016/j.foodres.2023.112949","ISSN":"1873-7145","journalAbbreviation":"Food Res Int","language":"eng","note":"PMID: 37316043","page":"112949","source":"PubMed","title":"In vitro simulated fecal fermentation of mixed grains on short-chain fatty acid generation and its metabolized mechanism","volume":"170","author":[{"family":"Xu","given":"Lei"},{"family":"Yu","given":"Qiaoru"},{"family":"Ma","given":"Lixue"},{"family":"Su","given":"Tingting"},{"family":"Zhang","given":"Dongjie"},{"family":"Yao","given":"Di"},{"family":"Li","given":"Zhijiang"}],"issued":{"date-parts":[["2023",8]]}}},{"id":2984,"uris":["http://zotero.org/users/local/6BakpO76/items/VZIJYN2V"],"itemData":{"id":2984,"type":"article-journal","abstract":"The human intestinal commensal microbiota and associated metabolic products have long been regarded as contributors to host health. As the identity and activities of the various members of this community have become clearer, newly identified health-associated bacteria, such as Faecalibacterium prausnitzii, Akkermansia muciniphila, Ruminococcus bromii and Roseburia species, have emerged. Notably, the abundance of many of these bacteria is inversely correlated to several disease states. While technological and regulatory hurdles may limit the use of strains from these taxa as probiotics, it should be possible to utilize prebiotics and other dietary components to selectively enhance their growth in situ. Dietary components of potential relevance include well-established prebiotics, such as galacto-oligosaccharides, fructo-oligosaccharides and inulin, while other putative prebiotics, such as other oligosaccharides, polyphenols, resistant starch, algae and seaweed as well as host gut metabolites such as lactate and acetate, may also be applied with the aim of selectively and/or differentially affecting the beneficial bacterial community within the gastrointestinal environment. The present review provides an overview of the dietary components that could be applied in this manner.","container-title":"Gut Microbes","DOI":"10.1080/19490976.2019.1613124","ISSN":"1949-0984","issue":"1","journalAbbreviation":"Gut Microbes","language":"eng","note":"PMID: 31116628\nPMCID: PMC6973326","page":"1-20","source":"PubMed","title":"Potential for enriching next-generation health-promoting gut bacteria through prebiotics and other dietary components","volume":"11","author":[{"family":"Lordan","given":"Cathy"},{"family":"Thapa","given":"Dinesh"},{"family":"Ross","given":"R. Paul"},{"family":"Cotter","given":"Paul D."}],"issued":{"date-parts":[["2020"]]}}}],"schema":"https://github.com/citation-style-language/schema/raw/master/csl-citation.json"}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32,39,40</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Eubacterium rectale</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{"citationID":"RGeLHXBY","properties":{"formattedCitation":"\\super 41,42\\nosupersub{}","plainCitation":"41,42","noteIndex":0},"citationItems":[{"id":2844,"uris":["http://zotero.org/users/local/6BakpO76/items/NQL2AUAN"],"itemData":{"id":2844,"type":"article-journal","abstract":"Nondigestible carbohydrates (NDCs) are fermentation substrates in the colon after escaping digestion in the upper gastrointestinal tract. Among NDCs, resistant starch is not hydrolyzed by pancreatic amylases but can be degraded by enzymes produced by large intestinal bacteria, including clostridia, bacteroides, and bifidobacteria. Nonstarch polysaccharides, such as pectin, guar gum, alginate, arabinoxylan, and inulin fructans, and nondigestible oligosaccharides and their derivatives, can also be fermented by beneficial bacteria in the large intestine. Butyrate is one of the most important metabolites produced through gastrointestinal microbial fermentation and functions as a major energy source for colonocytes by directly affecting the growth and differentiation of colonocytes. Moreover, butyrate has various physiological effects, including enhancement of intestinal barrier function and mucosal immunity. In this review, several representative NDCs are introduced, and their chemical components, structures, and physiological functions, including promotion of the proliferation of butyrate-producing bacteria and enhancement of butyrate production, are discussed. We also describe the strategies for achieving directional accumulation of colonic butyrate based on endogenous generation mechanisms.","container-title":"Critical Reviews in Food Science and Nutrition","DOI":"10.1080/10408398.2018.1542587","ISSN":"1549-7852","issue":"sup1","journalAbbreviation":"Crit Rev Food Sci Nutr","language":"eng","note":"PMID: 30580556","page":"S130-S152","source":"PubMed","title":"Nondigestible carbohydrates, butyrate, and butyrate-producing bacteria","volume":"59","author":[{"family":"Fu","given":"Xiaodan"},{"family":"Liu","given":"Zhemin"},{"family":"Zhu","given":"Changliang"},{"family":"Mou","given":"Haijin"},{"family":"Kong","given":"Qing"}],"issued":{"date-parts":[["2019"]]}}},{"id":2846,"uris":["http://zotero.org/users/local/6BakpO76/items/Y5GCFW9C"],"itemData":{"id":2846,"type":"article-journal","abstract":"Sepsis is a complex clinical disorder with heterogeneous etiological factors. Given its high mortality rate, it is considered a global health issue. Recently, the link between gut microbiota and their metabolites, especially short-chain fatty acids, in the pathophysiology of sepsis has been reported. However, there are few findings to confirm this relationship. This study aimed to evaluate some key gut microbiota members, pathogenic bacteria, and short-chain fatty acids in non-ICU patients with sepsis caused by bacteremia compared to a control group. In this case-control study, 45 stool samples from patients with sepsis and 15 healthy persons were collected from October 2021 to August 2022 in Tabriz, Iran. The position of some gut microbiota members and the main short-chain fatty acids concentration were assessed in the two groups by the Q-PCR and the high-performance liquid chromatography system. Faecalibacterium prausnitzii and Bifidobacterium sp. As bacterial with protective features in non-ICU patients with sepsis decreased significantly. Moreover, the concentrations of acetic acid and propionic acid significantly decreased in this group compared to the healthy volunteers. In contrast, the pathogenic bacteria members such as Enterobacteriaceae and Bacteroides sp. Increased significantly in the patients compared to the healthy individuals. The concentration of butyric acid decreased in the patients, but this change was not significant in the two groups. Protective and immune functions of F. prausnitzii and Bifidobacterium sp., as well as acetate and propionate, are evident. In this investigation, this profile was significantly reduced in non-ICU patients with sepsis compared to the control group.","container-title":"Heliyon","DOI":"10.1016/j.heliyon.2023.e17880","ISSN":"2405-8440","issue":"7","journalAbbreviation":"Heliyon","language":"eng","note":"PMID: 37539246\nPMCID: PMC10395291","page":"e17880","source":"PubMed","title":"The profile of key gut microbiota members and short-chain fatty acids in patients with sepsis","volume":"9","author":[{"family":"Nabizadeh","given":"Edris"},{"family":"Sadeghi","given":"Javid"},{"family":"Rezaee","given":"Mohammad Ahangarzadeh"},{"family":"Hamishehkar","given":"Hamed"},{"family":"Hasani","given":"Alka"},{"family":"Kafil","given":"Hossein Samadi"},{"family":"Sharifi","given":"Yaghoob"},{"family":"Asnaashari","given":"Solmaz"},{"family":"Kadkhoda","given":"Hiva"},{"family":"Ghotaslou","given":"Reza"}],"issued":{"date-parts":[["2023",7]]}}}],"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41,42</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Eubacterium hallii</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{"citationID":"thUokogz","properties":{"formattedCitation":"\\super 43\\uc0\\u8211{}45\\nosupersub{}","plainCitation":"43–45","noteIndex":0},"citationItems":[{"id":2994,"uris":["http://zotero.org/users/local/6BakpO76/items/23QY9GGS"],"itemData":{"id":2994,"type":"article-journal","abstract":"Eubacterium hallii is considered an important microbe in regard to intestinal metabolic balance due to its ability to utilize glucose and the fermentation intermediates acetate and lactate, to form butyrate and hydrogen. Recently, we observed that E. hallii is capable of metabolizing glycerol to 3-hydroxypropionaldehyde (3-HPA, reuterin) with reported antimicrobial properties. The key enzyme for glycerol to 3-HPA conversion is the cobalamin-dependent glycerol/diol dehydratase PduCDE which also utilizes 1,2-propanediol (1,2-PD) to form propionate. Therefore our primary goal was to investigate glycerol to 3-HPA metabolism and 1,2-PD utilization by E. hallii along with its ability to produce cobalamin. We also investigated the relative abundance of E. hallii in stool of adults using 16S rRNA and pduCDE based gene screening to determine the contribution of E. hallii to intestinal propionate formation. We found that E. hallii utilizes glycerol to produce up to 9 mM 3-HPA but did not further metabolize 3-HPA to 1,3-propanediol. Utilization of 1,2-PD in the presence and absence of glucose led to the formation of propanal, propanol and propionate. E. hallii formed cobalamin and was detected in stool of 74% of adults using 16S rRNA gene as marker gene (n = 325). Relative abundance of the E. hallii 16S rRNA gene ranged from 0 to 0.59% with a mean relative abundance of 0.044%. E. hallii PduCDE was detected in 63 to 81% of the metagenomes depending on which subunit was investigated beside other taxons such as Ruminococcus obeum, R. gnavus, Flavonifractor plautii, Intestinimonas butyriciproducens, and Veillonella spp. In conclusion, we identified E. hallii as a common gut microbe with the ability to convert glycerol to 3-HPA, a step that requires the production of cobalamin, and to utilize 1,2-PD to form propionate. Our results along with its ability to use a broad range of substrates point at E. hallii as a key species within the intestinal trophic chain with the potential to highly impact the metabolic balance as well as the gut microbiota/host homeostasis by the formation of different short chain fatty acids.","container-title":"Frontiers in Microbiology","DOI":"10.3389/fmicb.2016.00713","ISSN":"1664-302X","journalAbbreviation":"Front Microbiol","language":"eng","note":"PMID: 27242734\nPMCID: PMC4871866","page":"713","source":"PubMed","title":"The Common Gut Microbe Eubacterium hallii also Contributes to Intestinal Propionate Formation","volume":"7","author":[{"family":"Engels","given":"Christina"},{"family":"Ruscheweyh","given":"Hans-Joachim"},{"family":"Beerenwinkel","given":"Niko"},{"family":"Lacroix","given":"Christophe"},{"family":"Schwab","given":"Clarissa"}],"issued":{"date-parts":[["2016"]]}}},{"id":2991,"uris":["http://zotero.org/users/local/6BakpO76/items/CF3YB6A8"],"itemData":{"id":2991,"type":"article-journal","abstract":"Background: Gut microbial composition seems to change in association with prediabetes. The purpose of this prospective cross-sectional study was to compare the composition of gut microbiota and energy metabolites between individuals with class III obesity but without type 2 diabetes mellitus (OB) and healthy normal weight controls. Methods: The subjects of this prospective cross-sectional study were participants recruited from a previous clinical trial (No: NCT02325804), with intervention focused on weight loss. We recruited 19 OB [mean age ± standard deviation (SD) was 35.4 ± 7.0 years, mean body mass index (BMI) ± SD was 48.8 ± 6.7 kg/m2] and 23 controls (mean age ± SD was 31.7 ± 14.8 years, mean BMI ± SD was 22.2 ± 1.7 kg/m2). Their fecal microbiota was categorized using specific primers targeting the V1-V3 region of 16S rDNA, whereas serum metabolites were characterized by nuclear magnetic resonance spectroscopy. Multivariate statistical analysis and Random Forest models were applied to discriminate predictors with the highest variable importance. Results: We observed a significantly lower microbial α-diversity (P = 0.001) and relative abundance of beneficial bacterium Akkermansia (P = 0.001) and the short-chain fatty acid-producing bacteria Eubacterium hallii (P = 0.019), Butyrivibrio (P = 0.024), Marvinbryantia (P = 0.010), and Coprococcus (P = 0.050) and a higher abundance of the pathogenic bacteria Bilophila (P = 0.018) and Fusobacterium (P = 0.022) in OB compared with controls. Notably, the Random Forest machine learning analysis identified energy metabolites (citrate and acetate), HOMA-IR, and insulin as important predictors capable of discriminating between OB and controls. Conclusions: Our results suggest that changes in gut microbiota and in serum acetate and citrate are additional promising biomarkers before progression to Type 2 diabetes. The non-invasive manipulation of gut microbiota composition in OB through a healthy lifestyle, thus, offers a new approach for managing class III obesity and associated disorders. ClinicalTrials.gov identifier: NCT02325804.","container-title":"Metabolic Syndrome and Related Disorders","DOI":"10.1089/met.2022.0071","ISSN":"1557-8518","issue":"5","journalAbbreviation":"Metab Syndr Relat Disord","language":"eng","note":"PMID: 37083403","page":"243-253","source":"PubMed","title":"Gut Microbiota and Serum Metabolites in Individuals with Class III Obesity Without Type 2 Diabetes Mellitus: Pilot Analysis","title-short":"Gut Microbiota and Serum Metabolites in Individuals with Class III Obesity Without Type 2 Diabetes Mellitus","volume":"21","author":[{"family":"Kubáňová","given":"Libuša"},{"family":"Bielik","given":"Viktor"},{"family":"Hric","given":"Ivan"},{"family":"Ugrayová","given":"Simona"},{"family":"Šoltys","given":"Katarína"},{"family":"Rádiková","given":"Žofia"},{"family":"Baranovičová","given":"Eva"},{"family":"Grendár","given":"Marián"},{"family":"Kolisek","given":"Martin"},{"family":"Penesová","given":"Adela"}],"issued":{"date-parts":[["2023",6]]}}},{"id":2989,"uris":["http://zotero.org/users/local/6BakpO76/items/LE4LK6WF"],"itemData":{"id":2989,"type":"article-journal","abstract":"BACKGROUND: Comanagement of glycemia and adiposity is the cornerstone of cardiometabolic risk reduction in type 1 diabetes (T1D), but targets are often not met. The intestinal microbiota and microbiota-derived short-chain fatty acids (SCFAs) influence glycemia and adiposity but have not been sufficiently investigated in longstanding T1D.\nOBJECTIVES: We evaluated the hypothesis that an increased abundance of SCFA-producing gut microbes, fecal SCFAs, and intestinal microbial diversity were associated with improved glycemia but increased adiposity in young adults with longstanding T1D.\nMETHODS: Participants provided stool samples at ≤4 time points (NCT03651622: https://clinicaltrials.gov/ct2/show/NCT03651622). Sequencing of the 16S ribosomal RNA gene measured abundances of SCFA-producing intestinal microbes. GC-MS measured total and specific SCFAs (acetate, butyrate, propionate). DXA (body fat percentage and percentage lean mass) and anthropometrics (BMI) measured adiposity. Continuous glucose monitoring [percentage of time in range (70-180 mg/dL), above range (&gt;180 mg/dL), and below range (54-69 mg/dL)] and glycated hemoglobin (i.e., HbA1c) assessed glycemia. Adjusted and Bonferroni-corrected generalized estimating equations modeled the associations of SCFA-producing gut microbes, fecal SCFAs, and intestinal microbial diversity with glycemia and adiposity. COVID-19 interrupted data collection, so models were repeated restricted to pre-COVID-19 visits.\nRESULTS: Data were available for ≤45 participants at 101 visits (including 40 participants at 54 visits pre-COVID-19). Abundance of Eubacterium hallii was associated inversely with BMI (all data). Pre-COVID-19, increased fecal propionate was associated with increased percentage of time above range and reduced percentage of time in target and below range; and abundances of 3 SCFA-producing taxa (Ruminococcus gnavus, Eubacterium ventriosum, and Lachnospira) were associated inversely with body fat percentage, of which two microbes were positively associated with percentage lean mass. Abundance of Anaerostipes was associated with reduced percentage of time in range (all data) and with increased body fat percentage and reduced percentage lean mass (pre-COVID-19).\nCONCLUSIONS: Unexpectedly, fecal propionate was associated with detriment to glycemia, whereas most SCFA-producing intestinal microbes were associated with benefit to adiposity. Future studies should confirm these associations and determine their potential causal linkages in T1D.This study is registered at clinical.trials.gov (NCT03651622; https://clinicaltrials.gov/ct2/show/NCT03651622).","container-title":"Current Developments in Nutrition","DOI":"10.1093/cdn/nzac107","ISSN":"2475-2991","issue":"10","journalAbbreviation":"Curr Dev Nutr","language":"eng","note":"PMID: 36349343\nPMCID: PMC9620390","page":"nzac107","source":"PubMed","title":"The Intestinal Microbiota and Short-Chain Fatty Acids in Association with Advanced Metrics of Glycemia and Adiposity Among Young Adults with Type 1 Diabetes and Overweight or Obesity","volume":"6","author":[{"family":"Igudesman","given":"Daria"},{"family":"Crandell","given":"Jamie"},{"family":"Corbin","given":"Karen D."},{"family":"Muntis","given":"Franklin"},{"family":"Zaharieva","given":"Dessi P."},{"family":"Casu","given":"Anna"},{"family":"Thomas","given":"Joan M."},{"family":"Bulik","given":"Cynthia M."},{"family":"Carroll","given":"Ian M."},{"family":"Pence","given":"Brian W."},{"family":"Pratley","given":"Richard E."},{"family":"Kosorok","given":"Michael R."},{"family":"Maahs","given":"David M."},{"family":"Mayer-Davis","given":"Elizabeth J."}],"issued":{"date-parts":[["2022",11]]}}}],"schema":"https://github.com/citation-style-language/schema/raw/master/csl-citation.json"}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43–45</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Bacteroides </w:t>
            </w:r>
            <w:proofErr w:type="spellStart"/>
            <w:r w:rsidRPr="1FC84CC2">
              <w:rPr>
                <w:rFonts w:ascii="Arial" w:eastAsia="Arial" w:hAnsi="Arial" w:cs="Arial"/>
                <w:i/>
                <w:iCs/>
                <w:color w:val="000000" w:themeColor="text1"/>
              </w:rPr>
              <w:t>ovatus</w:t>
            </w:r>
            <w:proofErr w:type="spellEnd"/>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Akkermansia</w:t>
            </w:r>
            <w:proofErr w:type="spellEnd"/>
            <w:r w:rsidRPr="1FC84CC2">
              <w:rPr>
                <w:rFonts w:ascii="Arial" w:eastAsia="Arial" w:hAnsi="Arial" w:cs="Arial"/>
                <w:i/>
                <w:iCs/>
                <w:color w:val="000000" w:themeColor="text1"/>
              </w:rPr>
              <w:t xml:space="preserve"> muciniphila</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{"citationID":"k7gQDWIL","properties":{"formattedCitation":"\\super 46\\uc0\\u8211{}51\\nosupersub{}","plainCitation":"46–51","noteIndex":0},"citationItems":[{"id":2863,"uris":["http://zotero.org/users/local/6BakpO76/items/GLCAD89V"],"itemData":{"id":2863,"type":"article-journal","abstract":"OBJECTIVE: Recent studies suggest the beneficial effects of metformin on glucose metabolism may be microbially mediated. We examined the association of type 2 diabetes, metformin, and gut microbiota in community-dwelling Colombian adults. On the basis of previous research, we hypothesized that metformin is associated with higher levels of short-chain fatty acid (SCFA)-producing and mucin-degrading microbiota.\nRESEARCH DESIGN AND METHODS: Participants were selected from a larger cohort of 459 participants. The present analyses focus on the 28 participants diagnosed with diabetes-14 taking metformin- and the 84 participants without diabetes who were matched (3-to-1) to participants with diabetes by sex, age, and BMI. We measured demographic information, anthropometry, and blood biochemical parameters and collected fecal samples from which we performed 16S rRNA gene sequencing to analyze the composition and structure of the gut microbiota.\nRESULTS: We found an association between diabetes and gut microbiota that was modified by metformin use. Compared with participants without diabetes, participants with diabetes taking metformin had higher relative abundance of Akkermansia muciniphila, a microbiota known for mucin degradation, and several gut microbiota known for production of SCFAs, including Butyrivibrio, Bifidobacterium bifidum, Megasphaera, and an operational taxonomic unit of Prevotella. In contrast, compared with participants without diabetes, participants with diabetes not taking metformin had higher relative abundance of Clostridiaceae 02d06 and a distinct operational taxonomic unit of Prevotella and a lower abundance of Enterococcus casseliflavus.\nCONCLUSIONS: Our results support the hypothesis that metformin shifts gut microbiota composition through the enrichment of mucin-degrading A. muciniphila as well as several SCFA-producing microbiota. Future studies are needed to determine if these shifts mediate metformin's glycemic and anti-inflammatory properties.","container-title":"Diabetes Care","DOI":"10.2337/dc16-1324","ISSN":"1935-5548","issue":"1","journalAbbreviation":"Diabetes Care","language":"eng","note":"PMID: 27999002","page":"54-62","source":"PubMed","title":"Metformin Is Associated With Higher Relative Abundance of Mucin-Degrading Akkermansia muciniphila and Several Short-Chain Fatty Acid-Producing Microbiota in the Gut","volume":"40","author":[{"family":"Cuesta-Zuluaga","given":"Jacobo","non-dropping-particle":"de la"},{"family":"Mueller","given":"Noel T."},{"family":"Corrales-Agudelo","given":"Vanessa"},{"family":"Velásquez-Mejía","given":"Eliana P."},{"family":"Carmona","given":"Jenny A."},{"family":"Abad","given":"José M."},{"family":"Escobar","given":"Juan S."}],"issued":{"date-parts":[["2017",1]]}}},{"id":2861,"uris":["http://zotero.org/users/local/6BakpO76/items/862NUDUG"],"itemData":{"id":2861,"type":"article-journal","abstract":"Accumulating evidence suggests that the human intestinal microbiota contributes to the aetiology of colorectal cancer (CRC), not only via the pro-carcinogenic activities of specific pathogens but also via the influence of the wider microbial community, particularly its metabolome. Recent data have shown that the short-chain fatty acids acetate, propionate and butyrate function in the suppression of inflammation and cancer, whereas other microbial metabolites, such as secondary bile acids, promote carcinogenesis. In this Review, we discuss the relationship between diet, microbial metabolism and CRC and argue that the cumulative effects of microbial metabolites should be considered in order to better predict and prevent cancer progression.","container-title":"Nature Reviews. Microbiology","DOI":"10.1038/nrmicro3344","ISSN":"1740-1534","issue":"10","journalAbbreviation":"Nat Rev Microbiol","language":"eng","note":"PMID: 25198138","page":"661-672","source":"PubMed","title":"The gut microbiota, bacterial metabolites and colorectal cancer","volume":"12","author":[{"family":"Louis","given":"Petra"},{"family":"Hold","given":"Georgina L."},{"family":"Flint","given":"Harry J."}],"issued":{"date-parts":[["2014",10]]}}},{"id":2858,"uris":["http://zotero.org/users/local/6BakpO76/items/ECEMW2PT"],"itemData":{"id":2858,"type":"article-journal","container-title":"Gut Microbes","DOI":"10.1080/19490976.2016.1182295","ISSN":"1949-0984","issue":"3","journalAbbreviation":"Gut Microbes","language":"eng","note":"PMID: 27115177\nPMCID: PMC4939910","page":"187-188","source":"PubMed","title":"Gut microbial metabolites in health and disease","volume":"7","author":[{"family":"Flint","given":"Harry J."}],"issued":{"date-parts":[["2016",5,3]]}}},{"id":2382,"uris":["http://zotero.org/users/local/6BakpO76/items/FASZ7ZJT"],"itemData":{"id":2382,"type":"article-journal","abstract":"The formation of SCFA is the result of a complex interplay between diet and the gut microbiota within the gut lumen environment. The discovery of receptors, across a range of cell and tissue types for which short chain fatty acids SCFA appear to be the natural ligands, has led to increased interest in SCFA as signaling molecules between the gut microbiota and the host. SCFA represent the major carbon flux from the diet through the gut microbiota to the host and evidence is emerging for a regulatory role of SCFA in local, intermediary and peripheral metabolism. However, a lack of well-designed and controlled human studies has hampered our understanding of the significance of SCFA in human metabolic health. This review aims to pull together recent findings on the role of SCFA in human metabolism to highlight the multi-faceted role of SCFA on different metabolic systems.","container-title":"Gut Microbes","DOI":"10.1080/19490976.2015.1134082","ISSN":"1949-0984","issue":"3","journalAbbreviation":"Gut Microbes","language":"eng","note":"PMID: 26963409\nPMCID: PMC4939913","page":"189-200","source":"PubMed","title":"Formation of short chain fatty acids by the gut microbiota and their impact on human metabolism","volume":"7","author":[{"family":"Morrison","given":"Douglas J."},{"family":"Preston","given":"Tom"}],"issued":{"date-parts":[["2016",5,3]]}}},{"id":2852,"uris":["http://zotero.org/users/local/6BakpO76/items/H3U42CGK"],"itemData":{"id":2852,"type":"article-journal","abstract":"Phytochemicals derived from oats are reported to possess a beneficial effect on modulating dyslipidemia, specifically on lowering total and LDL cholesterol. However, deeper insights into its mechanism remain unclear. In this randomized controlled study, we assigned 210 mildly hypercholesterolemic subjects from three study centers across China (Beijing, Nanjing, and Shanghai) to consume 80 g of oats or rice daily for 45 days. Plasma lipid profiles, short chain fatty acids (SCFAs), and fecal microbiota were measured. The results showed that total cholesterol (TC) and non-high-density lipoprotein cholesterol (non-HDL-C) decreased significantly with both oats and rice intake after 30 and 45 days. The reduction in TC and non-HDL-C was greater in the participants consuming oats compared with rice at day 45 (p = 0.011 and 0.049, respectively). Oat consumption significantly increased the abundance of Akkermansia muciniphila and Roseburia, and the relative abundance of Dialister, Butyrivibrio, and Paraprevotella, and decreased unclassified f-Sutterellaceae. In the oat group, Bifidobacterium abundance was negatively correlated with LDL-C (p = 0.01, r = -0.31) and, TC and LDL-C were negatively correlated to Faecalibacterium prausnitzii (p = 0.02, r = -0.29; p = 0.03, r = -0.27, respectively). Enterobacteriaceae, Roseburia, and Faecalibacterium prausnitzii were positively correlated with plasma butyric acid and valeric acid concentrations and negatively correlated to isobutyric acid. HDL-C was negatively correlated with valeric acid (p = 0.02, r = -0.25) and total triglyceride (TG) was positively correlated to isovaleric acid (p = 0.03, r = 0.23). Taken together, oats consumption significantly reduced TC and LDL-C, and also mediated a prebiotic effect on gut microbiome. Akkermansia muciniphila, Roseburia, Bifidobacterium, and Faecalibacterium prausnitzii, and plasma SCFA correlated with oat-induced changes in plasma lipids, suggesting prebiotic activity of oats to modulate gut microbiome could contribute towards its cholesterol-lowering effect.","container-title":"Frontiers in Immunology","DOI":"10.3389/fimmu.2021.787797","ISSN":"1664-3224","journalAbbreviation":"Front Immunol","language":"eng","note":"PMID: 34956218\nPMCID: PMC8697019","page":"787797","source":"PubMed","title":"The Prebiotic Effects of Oats on Blood Lipids, Gut Microbiota, and Short-Chain Fatty Acids in Mildly Hypercholesterolemic Subjects Compared With Rice: A Randomized, Controlled Trial","title-short":"The Prebiotic Effects of Oats on Blood Lipids, Gut Microbiota, and Short-Chain Fatty Acids in Mildly Hypercholesterolemic Subjects Compared With Rice","volume":"12","author":[{"family":"Xu","given":"Dengfeng"},{"family":"Feng","given":"Meiyuan"},{"family":"Chu","given":"YiFang"},{"family":"Wang","given":"Shaokang"},{"family":"Shete","given":"Varsha"},{"family":"Tuohy","given":"Kieran M."},{"family":"Liu","given":"Feng"},{"family":"Zhou","given":"Xirui"},{"family":"Kamil","given":"Alison"},{"family":"Pan","given":"Da"},{"family":"Liu","given":"Hechun"},{"family":"Yang","given":"Xian"},{"family":"Yang","given":"Chao"},{"family":"Zhu","given":"Baoli"},{"family":"Lv","given":"Na"},{"family":"Xiong","given":"Qian"},{"family":"Wang","given":"Xin"},{"family":"Sun","given":"Jianqin"},{"family":"Sun","given":"Guiju"},{"family":"Yang","given":"Yuexin"}],"issued":{"date-parts":[["2021"]]}}},{"id":2849,"uris":["http://zotero.org/users/local/6BakpO76/items/GH3Y3Z28"],"itemData":{"id":2849,"type":"article-journal","abstract":"The gut microbiota consists of a set of microorganisms that colonizes the intestine and ferment fibers, among other nutrients, from the host's diet. A healthy gut microbiota, colonized mainly by beneficial microorganisms, has a positive effect on digestion and plays a role in disease prevention. However, dysregulation of the gut microbiota can contribute to various diseases. The nutrition of the host plays an important role in determining the composition of the gut microbiota. A healthy diet, rich in fiber, can beneficially modulate the gut microbiota. In this sense, oats are a source of both soluble and insoluble fiber. Oats are considered a functional ingredient with prebiotic potential and contain plant proteins, unsaturated fats, and antioxidant compounds. The impact of oat consumption on the gut microbiota is still emerging. Associations between oat consumption and the abundance of Akkermansia muciniphila, Roseburia, Lactobacillus, Bifidobacterium, and Faecalibacterium prausnitzii have already been observed. Therefore, this integrative review summarizes the findings from studies on the relationship between oat consumption, the gut microbiota, and the metabolites, mainly short-chain fatty acids, it produces.","container-title":"Nutrients","DOI":"10.3390/nu15163534","ISSN":"2072-6643","issue":"16","journalAbbreviation":"Nutrients","language":"eng","note":"PMID: 37630725\nPMCID: PMC10459712","page":"3534","source":"PubMed","title":"Relationship between Oat Consumption, Gut Microbiota Modulation, and Short-Chain Fatty Acid Synthesis: An Integrative Review","title-short":"Relationship between Oat Consumption, Gut Microbiota Modulation, and Short-Chain Fatty Acid Synthesis","volume":"15","author":[{"family":"Fabiano","given":"Giovanna Alexandre"},{"family":"Shinn","given":"Leila Marie"},{"family":"Antunes","given":"Adriane Elisabete Costa"}],"issued":{"date-parts":[["2023",8,11]]}}}],"schema":"https://github.com/citation-style-language/schema/raw/master/csl-citation.json"}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46–51</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Coprococcus</w:t>
            </w:r>
            <w:proofErr w:type="spellEnd"/>
            <w:r w:rsidRPr="1FC84CC2">
              <w:rPr>
                <w:rFonts w:ascii="Arial" w:eastAsia="Arial" w:hAnsi="Arial" w:cs="Arial"/>
                <w:i/>
                <w:iCs/>
                <w:color w:val="000000" w:themeColor="text1"/>
              </w:rPr>
              <w:t xml:space="preserve"> catus | </w:t>
            </w:r>
            <w:proofErr w:type="spellStart"/>
            <w:r w:rsidRPr="1FC84CC2">
              <w:rPr>
                <w:rFonts w:ascii="Arial" w:eastAsia="Arial" w:hAnsi="Arial" w:cs="Arial"/>
                <w:i/>
                <w:iCs/>
                <w:color w:val="000000" w:themeColor="text1"/>
              </w:rPr>
              <w:t>Coprococcus</w:t>
            </w:r>
            <w:proofErr w:type="spellEnd"/>
            <w:r w:rsidRPr="1FC84CC2">
              <w:rPr>
                <w:rFonts w:ascii="Arial" w:eastAsia="Arial" w:hAnsi="Arial" w:cs="Arial"/>
                <w:i/>
                <w:iCs/>
                <w:color w:val="000000" w:themeColor="text1"/>
              </w:rPr>
              <w:t xml:space="preserve"> comes</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{"citationID":"OJuA4lob","properties":{"formattedCitation":"\\super 28,52,53\\nosupersub{}","plainCitation":"28,52,53","noteIndex":0},"citationItems":[{"id":2829,"uris":["http://zotero.org/users/local/6BakpO76/items/7MK9L2JK"],"itemData":{"id":2829,"type":"article-journal","abstract":"Butyrate-producing bacteria play a key role in colonic health in humans. This review provides an overview of the current knowledge of the diversity, metabolism and microbial ecology of this functionally important group of bacteria. Human colonic butyrate producers are Gram-positive firmicutes, but are phylogenetically diverse, with the two most abundant groups related to Eubacterium rectale/Roseburia spp. and to Faecalibacterium prausnitzii. Five different arrangements have been identified for the genes of the central pathway involved in butyrate synthesis, while in most cases butyryl-CoA : acetate CoA-transferase, rather than butyrate kinase, appears to perform the final step in butyrate synthesis. Mechanisms have been proposed recently in non-gut Clostridium spp. whereby butyrate synthesis can result in energy generation via both substrate-level phosphorylation and proton gradients. Here we suggest that these mechanisms also apply to the majority of butyrate producers from the human colon. The roles of these bacteria in the gut community and their influence on health are now being uncovered, taking advantage of the availability of cultured isolates and molecular methodologies. Populations of F. prausnitzii are reported to be decreased in Crohn's disease, for example, while populations of Roseburia relatives appear to be particularly sensitive to the diet composition in human volunteer studies.","container-title":"FEMS microbiology letters","DOI":"10.1111/j.1574-6968.2009.01514.x","ISSN":"1574-6968","issue":"1","journalAbbreviation":"FEMS Microbiol Lett","language":"eng","note":"PMID: 19222573","page":"1-8","source":"PubMed","title":"Diversity, metabolism and microbial ecology of butyrate-producing bacteria from the human large intestine","volume":"294","author":[{"family":"Louis","given":"Petra"},{"family":"Flint","given":"Harry J."}],"issued":{"date-parts":[["2009",5]]}}},{"id":2866,"uris":["http://zotero.org/users/local/6BakpO76/items/GJPM3AQ2"],"itemData":{"id":2866,"type":"article-journal","abstract":"Serum-derived bovine immunoglobulins (SBI) exert health benefits mediated by their ability to bind microbial components, thereby preventing translocation and subsequent inflammation. While in vivo studies have shown that a fraction of SBI also reaches the colon, little is known about the impact of SBI on the dense colonic microbiota that has great potential to impact human health. This study, therefore, investigated the impact of three bovine plasma protein fractions (SBI, bovine plasma (BP) and albumin-enriched bovine plasma (ABP)) on the gut microbiota of six human adults using the novel ex vivo SIFR® technology, recently demonstrated to generate predictive findings for clinical studies. When dosed at an equivalent of 5 g/day, all protein fractions significantly increased health-related metabolites-acetate, propionate, and butyrate. Upon simulating small intestinal absorption, SBI still markedly increased acetate and propionate, demonstrating that SBI is more resistant to small intestinal digestion and absorption compared to the other protein sources. Despite noticeable interindividual differences in microbiota composition among human adults, SBI consistently stimulated a narrow spectrum of gut microbes, which largely differed from the ones that are typically involved in carbohydrate fermentation. The SBI-fermenting consortium included B. vulgatus and L. edouardi (correlating with acetate and propionate) along with Dorea longicatena, Coprococcus comes and the butyrate-producing bacterium SS3/4 (correlating with butyrate). Overall, this study revealed that protein bovine fractions can contribute to health benefits by specifically modulating the human gut microbiota. While health benefits could follow from the production of SCFA, a broader range of protein-derived metabolites could also be produced. This study also confirms that the concept of prebiotics (substrates selectively utilized by host microorganisms conferring a health benefit) could go beyond the use of ingestible carbohydrates and extend to partially indigestible proteins.","container-title":"Microorganisms","DOI":"10.3390/microorganisms11030659","ISSN":"2076-2607","issue":"3","journalAbbreviation":"Microorganisms","language":"eng","note":"PMID: 36985232\nPMCID: PMC10053870","page":"659","source":"PubMed","title":"Serum-Derived Bovine Immunoglobulin Stimulates SCFA Production by Specific Microbes in the Ex Vivo SIFR® Technology","volume":"11","author":[{"family":"Van den Abbeele","given":"Pieter"},{"family":"Detzel","given":"Christopher"},{"family":"Rose","given":"Alexis"},{"family":"Deyaert","given":"Stef"},{"family":"Baudot","given":"Aurélien"},{"family":"Warner","given":"Christopher"}],"issued":{"date-parts":[["2023",3,4]]}}},{"id":2869,"uris":["http://zotero.org/users/local/6BakpO76/items/CSCRTDMB"],"itemData":{"id":2869,"type":"article-journal","abstract":"Metabolic syndrome is a growing public health concern. Efforts at searching for links with the gut microbiome have revealed that propionate is a major fermentation product in the gut with several health benefits toward energy homeostasis. For instance, propionate stimulates satiety-inducing hormones, leading to lower energy intake and reducing weight gain and associated risk factors. In (disease) scenarios where microbial dysbiosis is apparent, gut microbial production of propionate may be decreased. Here, we investigated the effect of a propionogenic bacterial consortium composed of Lactobacillus plantarum, Bacteroides thetaiotaomicron, Ruminococcus obeum, Coprococcus catus, Bacteroides vulgatus, Akkermansia muciniphila, and Veillonella parvula for its potential to restore in vitro propionate concentrations upon antibiotic-induced microbial dysbiosis. Using the mucosal simulator of the human intestinal microbial ecosystem (M-SHIME), we challenged the simulated colon microbiome with clindamycin. Addition of the propionogenic consortium resulted in successful colonization and subsequent restoration of propionate levels, while a positive effect on the mitochondrial membrane potential (ΔΨm) was observed in comparison with the controls. Our results support the development and application of next generation probiotics, which are composed of multiple bacterial strains with diverse functionality and phylogenetic background.","container-title":"Frontiers in Microbiology","DOI":"10.3389/fmicb.2019.01206","ISSN":"1664-302X","journalAbbreviation":"Front Microbiol","language":"eng","note":"PMID: 31214145\nPMCID: PMC6554338","page":"1206","source":"PubMed","title":"Propionate-Producing Consortium Restores Antibiotic-Induced Dysbiosis in a Dynamic in vitro Model of the Human Intestinal Microbial Ecosystem","volume":"10","author":[{"family":"El Hage","given":"Racha"},{"family":"Hernandez-Sanabria","given":"Emma"},{"family":"Calatayud Arroyo","given":"Marta"},{"family":"Props","given":"Ruben"},{"family":"Van de Wiele","given":"Tom"}],"issued":{"date-parts":[["2019"]]}}}],"schema":"https://github.com/citation-style-language/schema/raw/master/csl-citation.json"}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28,52,53</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Veillonella</w:t>
            </w:r>
            <w:proofErr w:type="spellEnd"/>
            <w:r w:rsidRPr="1FC84CC2">
              <w:rPr>
                <w:rFonts w:ascii="Arial" w:eastAsia="Arial" w:hAnsi="Arial" w:cs="Arial"/>
                <w:i/>
                <w:iCs/>
                <w:color w:val="000000" w:themeColor="text1"/>
              </w:rPr>
              <w:t xml:space="preserve"> </w:t>
            </w:r>
            <w:proofErr w:type="spellStart"/>
            <w:r w:rsidRPr="1FC84CC2">
              <w:rPr>
                <w:rFonts w:ascii="Arial" w:eastAsia="Arial" w:hAnsi="Arial" w:cs="Arial"/>
                <w:i/>
                <w:iCs/>
                <w:color w:val="000000" w:themeColor="text1"/>
              </w:rPr>
              <w:t>parvula</w:t>
            </w:r>
            <w:proofErr w:type="spellEnd"/>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Veillonella</w:t>
            </w:r>
            <w:proofErr w:type="spellEnd"/>
            <w:r w:rsidRPr="1FC84CC2">
              <w:rPr>
                <w:rFonts w:ascii="Arial" w:eastAsia="Arial" w:hAnsi="Arial" w:cs="Arial"/>
                <w:i/>
                <w:iCs/>
                <w:color w:val="000000" w:themeColor="text1"/>
              </w:rPr>
              <w:t xml:space="preserve"> atypica</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{"citationID":"crNKclIZ","properties":{"formattedCitation":"\\super 53\\uc0\\u8211{}56\\nosupersub{}","plainCitation":"53–56","noteIndex":0},"citationItems":[{"id":2869,"uris":["http://zotero.org/users/local/6BakpO76/items/CSCRTDMB"],"itemData":{"id":2869,"type":"article-journal","abstract":"Metabolic syndrome is a growing public health concern. Efforts at searching for links with the gut microbiome have revealed that propionate is a major fermentation product in the gut with several health benefits toward energy homeostasis. For instance, propionate stimulates satiety-inducing hormones, leading to lower energy intake and reducing weight gain and associated risk factors. In (disease) scenarios where microbial dysbiosis is apparent, gut microbial production of propionate may be decreased. Here, we investigated the effect of a propionogenic bacterial consortium composed of Lactobacillus plantarum, Bacteroides thetaiotaomicron, Ruminococcus obeum, Coprococcus catus, Bacteroides vulgatus, Akkermansia muciniphila, and Veillonella parvula for its potential to restore in vitro propionate concentrations upon antibiotic-induced microbial dysbiosis. Using the mucosal simulator of the human intestinal microbial ecosystem (M-SHIME), we challenged the simulated colon microbiome with clindamycin. Addition of the propionogenic consortium resulted in successful colonization and subsequent restoration of propionate levels, while a positive effect on the mitochondrial membrane potential (ΔΨm) was observed in comparison with the controls. Our results support the development and application of next generation probiotics, which are composed of multiple bacterial strains with diverse functionality and phylogenetic background.","container-title":"Frontiers in Microbiology","DOI":"10.3389/fmicb.2019.01206","ISSN":"1664-302X","journalAbbreviation":"Front Microbiol","language":"eng","note":"PMID: 31214145\nPMCID: PMC6554338","page":"1206","source":"PubMed","title":"Propionate-Producing Consortium Restores Antibiotic-Induced Dysbiosis in a Dynamic in vitro Model of the Human Intestinal Microbial Ecosystem","volume":"10","author":[{"family":"El Hage","given":"Racha"},{"family":"Hernandez-Sanabria","given":"Emma"},{"family":"Calatayud Arroyo","given":"Marta"},{"family":"Props","given":"Ruben"},{"family":"Van de Wiele","given":"Tom"}],"issued":{"date-parts":[["2019"]]}}},{"id":2879,"uris":["http://zotero.org/users/local/6BakpO76/items/524DPPIX"],"itemData":{"id":2879,"type":"article-journal","abstract":"During the development of human oral biofilm communities, the spatial arrangement of the bacteria is thought to be driven by metabolic interactions between them. Streptococcus gordonii and Veillonella atypica, two early colonizing members of the dental plaque biofilm, have been postulated to participate in metabolic communication; S. gordonii ferments carbohydrates to form lactic acid, which is a preferred fermentation substrate for V. atypica. We found that, during agar-plate coculture of these organisms, a signaling event occurs that results in increased expression of the S. gordonii alpha-amylase-encoding gene amyB. Confocal scanning laser microscopy of coculture flowcell-grown biofilms using human saliva as the sole nutrient showed that V. atypica caused S. gordonii to increase expression of a PamyB-'gfp transcriptional fusion in a spatially resolved fashion. In this open system, only those streptococci in mixed-species microcolonies containing V. atypica expressed GFP; nearby S. gordonii colonies that lacked V. atypica did not express GFP. In a closed system containing S. gordonii and V. atypica, flow cytometric analysis showed that S. gordonii containing the PamyB-'gfp reporter plasmid exhibited mean fluorescence levels 20-fold higher than did S. gordonii that had not been incubated with V. atypica. Thus, in a closed system where a diffusible signal can accumulate above a required threshold, interspecies signaling mediates a change in gene expression. We provide evidence that, in open systems like those that predominate in natural biofilms, diffusible signals between species are designed to function over short distances, on the order of 1 mum.","container-title":"Proceedings of the National Academy of Sciences of the United States of America","DOI":"10.1073/pnas.0407457101","ISSN":"0027-8424","issue":"48","journalAbbreviation":"Proc Natl Acad Sci U S A","language":"eng","note":"PMID: 15546975\nPMCID: PMC534724","page":"16917-16922","source":"PubMed","title":"Interspecies communication in Streptococcus gordonii-Veillonella atypica biofilms: signaling in flow conditions requires juxtaposition","title-short":"Interspecies communication in Streptococcus gordonii-Veillonella atypica biofilms","volume":"101","author":[{"family":"Egland","given":"Paul G."},{"family":"Palmer","given":"Robert J."},{"family":"Kolenbrander","given":"Paul E."}],"issued":{"date-parts":[["2004",11,30]]}}},{"id":2876,"uris":["http://zotero.org/users/local/6BakpO76/items/SZYTDBUV"],"itemData":{"id":2876,"type":"article-journal","abstract":"The gut microbiota refers to the collection of trillions of intestinal microorganisms that modulate central aspects of health and disease through influential effects on host physiology. Recently, a connection has been made between the gut microbiota and exercise. Initial investigations demonstrated the beneficial effects of exercise on the gut microbiota, with cross-sectional studies revealing positive correlations between exercise-associated states, and healthy gut microbiota and exercise interventions showed post-intervention increases in the abundance of beneficial bacterial taxa. More recent investigations have focused on exploring the reverse relationship: the influence of the gut microbiota on exercise performance. Murine investigations have revealed that certain bacterial taxa may enhance endurance exercise performance by augmenting various aspects of lactate metabolism. Further, short-chain fatty acids-which modulate metabolism at various organ sites, including within skeletal muscle-have been shown to enhance endurance exercise capacity in mice. This review highlights what is currently known about the connection between the gut microbiota and exercise, with a particular focus on the ergogenic potential of the gut microbiota and how it may be leveraged to enhance endurance exercise performance.","container-title":"Journal of Sport and Health Science","DOI":"10.1016/j.jshs.2022.09.002","ISSN":"2213-2961","issue":"1","journalAbbreviation":"J Sport Health Sci","language":"eng","note":"PMID: 36089243\nPMCID: PMC9923434","page":"36-44","source":"PubMed","title":"Unlocking a novel determinant of athletic performance: The role of the gut microbiota, short-chain fatty acids, and \"biotics\" in exercise","title-short":"Unlocking a novel determinant of athletic performance","volume":"12","author":[{"family":"Sales","given":"Kate M."},{"family":"Reimer","given":"Raylene A."}],"issued":{"date-parts":[["2023",1]]}}},{"id":2882,"uris":["http://zotero.org/users/local/6BakpO76/items/VL5YZ9S7"],"itemData":{"id":2882,"type":"article-journal","abstract":"Dietary fiber provides growth substrates for bacterial species that belong to the colonic microbiota of humans. The microbiota degrades and ferments substrates, producing characteristic short-chain fatty acid profiles. Dietary fiber contains plant cell wall-associated polysaccharides (hemicelluloses and pectins) that are chemically diverse in composition and structure. Thus, depending on plant sources, dietary fiber daily presents the microbiota with mixtures of plant polysaccharides of various types and complexity. We studied the extent and preferential order in which mixtures of plant polysaccharides (arabinoxylan, xyloglucan, β-glucan, and pectin) were utilized by a coculture of five bacterial species (Bacteroides ovatus, Bifidobacterium longum subspecies longum, Megasphaera elsdenii, Ruminococcus gnavus, and Veillonella parvula). These species are members of the human gut microbiota and have the biochemical capacity, collectively, to degrade and ferment the polysaccharides and produce short-chain fatty acids (SCFAs). B. ovatus utilized glycans in the order β-glucan, pectin, xyloglucan, and arabinoxylan, whereas B. longum subsp. longum utilization was in the order arabinoxylan, arabinan, pectin, and β-glucan. Propionate, as a proportion of total SCFAs, was augmented when polysaccharide mixtures contained galactan, resulting in greater succinate production by B. ovatus and conversion of succinate to propionate by V. parvula Overall, we derived a synthetic ecological community that carries out SCFA production by the common pathways used by bacterial species for this purpose. Systems like this might be used to predict changes to the emergent properties of the gut ecosystem when diet is altered, with the aim of beneficially affecting human physiology.IMPORTANCE This study addresses the question as to how bacterial species, characteristic of the human gut microbiota, collectively utilize mixtures of plant polysaccharides such as are found in dietary fiber. Five bacterial species with the capacity to degrade polymers and/or produce acidic fermentation products detectable in human feces were used in the experiments. The bacteria showed preferential use of certain polysaccharides over others for growth, and this influenced their fermentation output qualitatively. These kinds of studies are essential in developing concepts of how the gut microbial community shares habitat resources, directly and indirectly, when presented with mixtures of polysaccharides that are found in human diets. The concepts are required in planning dietary interventions that might correct imbalances in the functioning of the human microbiota so as to support measures to reduce metabolic conditions such as obesity.","container-title":"Applied and Environmental Microbiology","DOI":"10.1128/AEM.01905-19","ISSN":"1098-5336","issue":"2","journalAbbreviation":"Appl Environ Microbiol","language":"eng","note":"PMID: 31676481\nPMCID: PMC6952225","page":"e01905-19","source":"PubMed","title":"Substrate Use Prioritization by a Coculture of Five Species of Gut Bacteria Fed Mixtures of Arabinoxylan, Xyloglucan, β-Glucan, and Pectin","volume":"86","author":[{"family":"Liu","given":"Yafei"},{"family":"Heath","given":"Anne-Louise"},{"family":"Galland","given":"Barbara"},{"family":"Rehrer","given":"Nancy"},{"family":"Drummond","given":"Lynley"},{"family":"Wu","given":"Xi-Yang"},{"family":"Bell","given":"Tracey J."},{"family":"Lawley","given":"Blair"},{"family":"Sims","given":"Ian M."},{"family":"Tannock","given":"Gerald W."}],"issued":{"date-parts":[["2020",1,7]]}}}],"schema":"https://github.com/citation-style-language/schema/raw/master/csl-citation.json"}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53–56</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Megasphaera</w:t>
            </w:r>
            <w:proofErr w:type="spellEnd"/>
            <w:r w:rsidRPr="1FC84CC2">
              <w:rPr>
                <w:rFonts w:ascii="Arial" w:eastAsia="Arial" w:hAnsi="Arial" w:cs="Arial"/>
                <w:i/>
                <w:iCs/>
                <w:color w:val="000000" w:themeColor="text1"/>
              </w:rPr>
              <w:t xml:space="preserve"> elsdenii</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{"citationID":"moJLzALT","properties":{"formattedCitation":"\\super 57\\uc0\\u8211{}59\\nosupersub{}","plainCitation":"57–59","noteIndex":0},"citationItems":[{"id":2887,"uris":["http://zotero.org/users/local/6BakpO76/items/BZX7YF6C"],"itemData":{"id":2887,"type":"article-journal","abstract":"Two coccoid, non-motile, obligately anaerobic, Gram-stain-negative bacteria, occurring singly or in pairs, or as short chains, with a mean size of 1.4-2.5 µm were isolated from the faeces of two healthy human volunteers, aged 26 and 56 years, and were designated NMBHI-10(T) and BLPYG-7, respectively. Both the strains were affiliated to the sub-branch Sporomusa of the class Clostridia as revealed by 16S rRNA gene sequence analysis. The isolates NMBHI-10(T) and BLPYG-7 showed 99.1 and 99.2% 16S rRNA gene sequence similarity, respectively, with Megasphaera elsdenii JCM 1772(T). DNA-DNA hybridization and phenotypic analysis showed that both the strains were distinct from their closest relative, M. elsdenii JCM 1772(T) (42 and 53% DNA-DNA relatedness with NMBHI-10(T) and BLPYG-7, respectively), but belong to the same species (DNA-DNA relatedness of 80.9 % between the isolates). According to DNA-DNA hybridization results, the coccoid strains belong to the same genospecies, and neither is related to any of the recognized species of the genus Megasphaera. Strains NMBHI-10(T) and BLPYG-7 grew in PYG broth at temperatures of between 15 and 40 °C (optimum 37 °C), but not at 45 °C. The strains utilized a range of carbohydrates as sources of carbon and energy including glucose, lactose, cellobiose, rhamnose, galactose and sucrose. Glucose fermentation resulted in the formation of volatile fatty acids, mainly caproic acid and organic acids such as succinic acid. Phylogenetic analysis, specific phenotypic characteristics and/or DNA G+C content also differentiated the strains from each other and from their closest relatives. The DNA G+C contents of strains NMBHI-10(T) and BLPYG-7 are 57.7 and 54.9 mol%, respectively. The major fatty acids were 12 : 0 FAME and 17 : 0 CYC FAME. On the basis of these data, we conclude that strains NMBHI-10(T) and BLPYG-7 should be classified as representing a novel species of the genus Megasphaera, for which the name Megsphaera indica sp. nov. is proposed. The type strain is NMBHI-10(T) ( = DSM 25563(T) = MCC 2481(T)).","container-title":"International Journal of Systematic and Evolutionary Microbiology","DOI":"10.1099/ijs.0.059816-0","ISSN":"1466-5034","issue":"Pt 7","journalAbbreviation":"Int J Syst Evol Microbiol","language":"eng","note":"PMID: 24711592","page":"2250-2256","source":"PubMed","title":"Megasphaera indica sp. nov., an obligate anaerobic bacteria isolated from human faeces","volume":"64","author":[{"family":"Lanjekar","given":"V. B."},{"family":"Marathe","given":"N. P."},{"family":"Ramana","given":"V. Venkata"},{"family":"Shouche","given":"Y. S."},{"family":"Ranade","given":"D. R."}],"issued":{"date-parts":[["2014",7]]}}},{"id":2889,"uris":["http://zotero.org/users/local/6BakpO76/items/TJBXD7P2"],"itemData":{"id":2889,"type":"article-journal","abstract":"With increasing number of novel bacteria being isolated from the human gut ecosystem, there is a greater need to study their role in the gut ecosystem and their effect on the host health. In the present study, we carried out in silico genome-wide analysis of two novel Megasphaera sp. isolates NM10 (DSM25563) and BL7 (DSM25562), isolated from feces of two healthy individuals and validated the key features by in vitro studies. The analysis revealed the general metabolic potential, adaptive features and the potential effects of these isolates on the host. The comparative genome analysis of the two human gut isolates NM10 and BL7 with ruminal isolate Megasphaera elsdenii (DSM20460) highlighted the differential adaptive features for their survival in human gut. The key findings include features like bile resistance, presence of various sensory and regulatory systems, stress response systems, membrane transporters and resistance to antibiotics. Comparison of the \"glycobiome\" based on the genomes of the ruminal isolate with the human gut isolates NM10 and BL revealed the presence of diverse and unique sets of Carbohydrate-Active enzymes (CAZymes) amongst these isolates, with a higher collection of CAZymes in the human gut isolates. This could be attributed to the difference in host diet and thereby the environment, consequently suggesting host specific adaptation in these isolates. In silico analysis of metabolic potential predicted the ability of these isolates to produce important metabolites like short chain fatty acids (butyrate, acetate, formate, and caproate), vitamins and essential amino acids, which was further validated by in vitro experiments. The ability of these isolates to produce important metabolites advocates for a potential healthy influence on the host. Further in vivo studies including transcriptomic and proteomic analysis will be required for better understanding the role and impact of these Megasphaera sp. isolates NM10 and BL7 on the human host.","container-title":"PloS One","DOI":"10.1371/journal.pone.0079353","ISSN":"1932-6203","issue":"11","journalAbbreviation":"PLoS One","language":"eng","note":"PMID: 24260205\nPMCID: PMC3832451","page":"e79353","source":"PubMed","title":"Comparative genome analysis of Megasphaera sp. reveals niche specialization and its potential role in the human gut","volume":"8","author":[{"family":"Shetty","given":"Sudarshan Anand"},{"family":"Marathe","given":"Nachiket Prakash"},{"family":"Lanjekar","given":"Vikram"},{"family":"Ranade","given":"Dilip"},{"family":"Shouche","given":"Yogesh S."}],"issued":{"date-parts":[["2013"]]}}},{"id":2892,"uris":["http://zotero.org/users/local/6BakpO76/items/2SMHR3K2"],"itemData":{"id":2892,"type":"article-journal","abstract":"A novel mesophilic, anaerobic, Gram-stain-negative bacterium was isolated from the cecum of a healthy white leghorn chicken, and designated AJH120T. Cells were coccoid or diplococcoid with an average size of 0.8-1.8 µm and were non-motile with no evidence of spores. Phylogenetic analysis of 16S rRNA gene sequences revealed this organism to be a member of the genus Megasphaera, with the closest relatives being Megasphaera elsdenii (95 % sequence identity) and Megasphaera cerevisiae (95 % sequence identity). Growth was observed between 30 and 50 °C and between pH 5.0 and 9.0. AJH120T utilized a variety of carbon sources, including succinate, gluconate, fructose, ribose and pyruvate, as well as many individual amino acids. The DNA G+C content for the genome sequence of AJH120T was 52.1 mol%. Digital DNA-DNA hybridization (dDDH), average nucleotide identity (ANI) and average amino acid identity (AAI) between AJH120T and close taxonomic relatives, indicated divergence consistent with the strain representing a novel species. The major fatty acid methyl esters of the organism were C12 : 0, C14 : 0 3-OH, C18 : 1ω9c, C16 : 0 and C16 : 1ω9c. AJH120T was able to produce several short chain fatty acids, including butyrate, acetate, propionate and isovalerate. Together, these data indicate that AJH120T represents a novel species within the genus Megasphaera. We propose the name Megasphaerastantonii sp. nov. for the species. The type strain of this species is AJH120T (=DSM 106750T=CCUG 71842T).","container-title":"International Journal of Systematic and Evolutionary Microbiology","DOI":"10.1099/ijsem.0.002991","ISSN":"1466-5034","issue":"11","journalAbbreviation":"Int J Syst Evol Microbiol","language":"eng","note":"PMID: 30281016","page":"3409-3415","source":"PubMed","title":"Megasphaera stantonii sp. nov., a butyrate-producing bacterium isolated from the cecum of a healthy chicken","volume":"68","author":[{"family":"Maki","given":"Joel J."},{"family":"Looft","given":"Torey"}],"issued":{"date-parts":[["2018",11]]}}}],"schema":"https://github.com/citation-style-language/schema/raw/master/csl-citation.json"}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57–59</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Anaerostipes</w:t>
            </w:r>
            <w:proofErr w:type="spellEnd"/>
            <w:r w:rsidRPr="1FC84CC2">
              <w:rPr>
                <w:rFonts w:ascii="Arial" w:eastAsia="Arial" w:hAnsi="Arial" w:cs="Arial"/>
                <w:i/>
                <w:iCs/>
                <w:color w:val="000000" w:themeColor="text1"/>
              </w:rPr>
              <w:t xml:space="preserve"> </w:t>
            </w:r>
            <w:proofErr w:type="spellStart"/>
            <w:r w:rsidRPr="1FC84CC2">
              <w:rPr>
                <w:rFonts w:ascii="Arial" w:eastAsia="Arial" w:hAnsi="Arial" w:cs="Arial"/>
                <w:i/>
                <w:iCs/>
                <w:color w:val="000000" w:themeColor="text1"/>
              </w:rPr>
              <w:t>caccae</w:t>
            </w:r>
            <w:proofErr w:type="spellEnd"/>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Anaerostipes</w:t>
            </w:r>
            <w:proofErr w:type="spellEnd"/>
            <w:r w:rsidRPr="1FC84CC2">
              <w:rPr>
                <w:rFonts w:ascii="Arial" w:eastAsia="Arial" w:hAnsi="Arial" w:cs="Arial"/>
                <w:i/>
                <w:iCs/>
                <w:color w:val="000000" w:themeColor="text1"/>
              </w:rPr>
              <w:t xml:space="preserve"> hadrus</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{"citationID":"Wnn0LOVz","properties":{"formattedCitation":"\\super 60\\uc0\\u8211{}63\\nosupersub{}","plainCitation":"60–63","noteIndex":0},"citationItems":[{"id":2895,"uris":["http://zotero.org/users/local/6BakpO76/items/Q9ETUAKG"],"itemData":{"id":2895,"type":"article-journal","abstract":"Gut-microbial butyrate is a short-chain fatty acid (SCFA) of significant physiological importance than the other major SCFAs (acetate and propionate). Most butyrate producers belong to the Clostridium cluster of the phylum Firmicutes, such as Faecalibacterium, Roseburia, Eubacterium, Anaerostipes, Coprococcus, Subdoligranulum, and Anaerobutyricum. They metabolize carbohydrates via the butyryl-CoA: acetate CoA-transferase pathway and butyrate kinase terminal enzymes to produce most of butyrate. Although, in minor fractions, amino acids can also be utilized to generate butyrate via glutamate and lysine pathways. Butyrogenic microbes play a vital role in various gut-associated metabolisms. Butyrate is used by colonocytes to generate energy, stabilizes hypoxia-inducible factor to maintain the anaerobic environment in the gut, maintains gut barrier integrity by regulating Claudin-1 and synaptopodin expression, limits pro-inflammatory cytokines (IL-6, IL-12), and inhibits oncogenic pathways (Akt/ERK, Wnt, and TGF-β signaling). Colonic butyrate producers shape the gut microbial community by secreting various anti-microbial substances, such as cathelicidins, reuterin, and β-defensin-1, and maintain gut homeostasis by releasing anti-inflammatory molecules, such as IgA, vitamin B, and microbial anti-inflammatory molecules. Additionally, butyrate producers, such as Roseburia, produce anti-carcinogenic metabolites, such as shikimic acid and a precursor of conjugated linoleic acid. In this review, we summarized the significance of butyrate, critically examined the role and relevance of butyrate producers, and contextualized their importance as microbial therapeutics.","container-title":"Frontiers in Microbiology","DOI":"10.3389/fmicb.2022.1103836","ISSN":"1664-302X","journalAbbreviation":"Front Microbiol","language":"eng","note":"PMID: 36713166\nPMCID: PMC9877435","page":"1103836","source":"PubMed","title":"Butyrate producers, \"The Sentinel of Gut\": Their intestinal significance with and beyond butyrate, and prospective use as microbial therapeutics","title-short":"Butyrate producers, \"The Sentinel of Gut\"","volume":"13","author":[{"family":"Singh","given":"Vineet"},{"family":"Lee","given":"GyuDae"},{"family":"Son","given":"HyunWoo"},{"family":"Koh","given":"Hong"},{"family":"Kim","given":"Eun Soo"},{"family":"Unno","given":"Tatsuya"},{"family":"Shin","given":"Jae-Ho"}],"issued":{"date-parts":[["2022"]]}}},{"id":2900,"uris":["http://zotero.org/users/local/6BakpO76/items/L56LBZ4T"],"itemData":{"id":2900,"type":"article-journal","abstract":"INTRODUCTION: Human gut microbiota species which are next-generation probiotics (NGPs) candidates are of high interest as they have shown the potential to treat intestinal inflammation and other diseases. Unfortunately, these species are often not robust enough for large-scale cultivation, especially in maintaining diversity in co-culture production.\nOBJECTIVES: In this study, we describe interactions between human gut microbiota species in the cultivation process with unique substrates. We also demonstrated that it is possible to change the species ratio in co-culture by changing the ratio of carbon sources.\nMETHODS: We screened 25 different bacterial species based on their metabolic capabilities. After evaluating unique substrate possibilities, we chose Anaerostipes caccae (A. caccae), Bacteroides thetaiotaomicron (B. thetaiotaomicron), and Bacteroides vulgatus (B. vulgatus) as subjects for further study. D-sorbitol, D-xylose, and D-galacturonic acid were selected as substrates for A. caccae, B. thetaiotaomicron, and B. vulgatus respectively. All three species were cultivated as both monocultures and in co-cultures in serial batch fermentations in an isothermal microcalorimeter.\nRESULTS: Positive interactions were detected between the species in both co-cultures (A. caccae + B. thetaiotaomicron; A. caccae + B. vulgatus) resulting in higher heat production compared to the sum of the monocultures. The same positive cross-feeding interactions took place in larger-scale cultivation experiments. We confirmed acetate and lactate cross-feeding between A. caccae and B. thetaiotaomicron with flux balance analysis (FBA).\nCONCLUSION: Changing the ratio of the selected carbon sources in the medium changed the species ratio accordingly. Such robustness is the basis for developing more efficient industrial co-culture processes including the production of NGPs.","container-title":"Anaerobe","DOI":"10.1016/j.anaerobe.2022.102680","ISSN":"1095-8274","journalAbbreviation":"Anaerobe","language":"eng","note":"PMID: 36473601","page":"102680","source":"PubMed","title":"Detailed analysis of metabolism reveals growth-rate-promoting interactions between Anaerostipes caccae and Bacteroides spp","volume":"79","author":[{"family":"Kattel","given":"Anna"},{"family":"Morell","given":"Indrek"},{"family":"Aro","given":"Valter"},{"family":"Lahtvee","given":"Petri-Jaan"},{"family":"Vilu","given":"Raivo"},{"family":"Jõers","given":"Arvi"},{"family":"Nahku","given":"Ranno"}],"issued":{"date-parts":[["2023",2]]}}},{"id":2898,"uris":["http://zotero.org/users/local/6BakpO76/items/BXWVZQM8"],"itemData":{"id":2898,"type":"article-journal","abstract":"OBJECTIVES: Butyrate producing bacteria are promising candidates for next-generation probiotics. However, they are extremely sensitive to oxygen, which is a significant obstacle to their inclusion in food matrices in a viable form. The present study characterized the spore-forming properties and stress tolerance of human gut butyrate-producing Anaerostipes spp.\nMETHODS: Spore formation properties in six species of Anaerostipes spp. were studied by in vitro and in silico tests.\nRESULTS: Spores were observed from the cells of three species using microscopic analyses, while the remaining three did not form spores under the tested conditions. Spore-forming properties were confirmed by an ethanol treatment. The spores of Anaerostipes caccae were tolerant to oxygen and survived for 15 weeks under atmospheric conditions. Spores tolerated heat stress at 70 °C, but not at 80 °C. An in silico analysis of the conservation of potential sporulation signature genes revealed that the majority of human gut butyrate-producing bacteria were classified as potential spore formers. Comparative genomics revealed that three spore-forming Anaerostipes spp. specifically possessed the spore formation-related genes of bkdR, sodA, and splB, which may be key genes for different sporulation properties in Anaerostipes spp.\nCONCLUSIONS: The present study demonstrated the enhanced stress tolerance of butyrate producing Anaerostipes spp. for future probiotic application. Presence of specific gene(s) are possibly keys for sporulation in Anaerostipes spp.","container-title":"Anaerobe","DOI":"10.1016/j.anaerobe.2023.102752","ISSN":"1095-8274","journalAbbreviation":"Anaerobe","language":"eng","note":"PMID: 37301503","page":"102752","source":"PubMed","title":"Spore-forming properties and enhanced oxygen tolerance of butyrate-producing Anaerostipes spp","volume":"82","author":[{"family":"Kadowaki","given":"Ren"},{"family":"Tanno","given":"Hiroki"},{"family":"Maeno","given":"Shintaro"},{"family":"Endo","given":"Akihito"}],"issued":{"date-parts":[["2023",8]]}}},{"id":2902,"uris":["http://zotero.org/users/local/6BakpO76/items/6JZ3I493"],"itemData":{"id":2902,"type":"article-journal","abstract":"Cultivation and isolation of gut bacteria are necessary for understanding their role in the intestinal ecosystem. We isolated a novel bacterium, designated strain BG01T, from the faeces of a patient with Crohn's disease. Strain BG01T was a strictly anaerobic, rod-shaped, Gram-variable and endospore-forming bacterium. Strain BG01T possessed C12 : 0, C18 : 0 dimethyl aldehyde (DMA) and C18 : 1  ω9c DMA as predominant cellular fatty acids and meso-diaminopimelic acid as a diagnostic diamino acid. Strain BG01T grew at 15-45 °C (optimum, 37 °C), with 0-4 % (w/v) NaCl (optimum, 0-1 %), at pH 6-10 (optimum, pH 7) and was resistant to bile salt, but not to ampicillin, metronidazole, vancomycin and cefoperazone. Butyrate, propionate, oxalacetate and fumarate were produced as fermentation end products from Gifu anaerobic medium broth. Strain BG01T showed 97.7 % 16S rRNA gene sequence similarity, and 92.0 and 48.5 % of average nucleotide identity and digital DNA-DNA hybridization values, respectively, with Anaerostipes caccae KCTC 15019T. Genomic analysis indicated that strain BG01T had a butyrate-producing pathway. The genomic G+C content of the strain was 43.5 mol%. Results of the phenotypic, phylogenetic and genotypic analyses indicated that strain BG01T represents a novel butyrate-producing species of the genus Anaerostipes, for which the name Anaerostipes hominis sp. nov. is proposed. The type strain is BG01T (=KCTC 15617T=JCM 32275T).","container-title":"International Journal of Systematic and Evolutionary Microbiology","DOI":"10.1099/ijsem.0.005129","ISSN":"1466-5034","issue":"12","journalAbbreviation":"Int J Syst Evol Microbiol","language":"eng","note":"PMID: 34870576","source":"PubMed","title":"Anaerostipes hominis sp. nov., a novel butyrate-producing bacteria isolated from faeces of a patient with Crohn's disease","volume":"71","author":[{"family":"Lee","given":"Jae-Yun"},{"family":"Kang","given":"Woorim"},{"family":"Shin","given":"Na-Ri"},{"family":"Hyun","given":"Dong-Wook"},{"family":"Kim","given":"Pil Soo"},{"family":"Kim","given":"Hyun Sik"},{"family":"Lee","given":"June-Young"},{"family":"Tak","given":"Euon Jung"},{"family":"Sung","given":"Hojun"},{"family":"Bae","given":"Jin-Woo"}],"issued":{"date-parts":[["2021",12]]}}}],"schema":"https://github.com/citation-style-language/schema/raw/master/csl-citation.json"}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60–63</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Butyricicoccus</w:t>
            </w:r>
            <w:proofErr w:type="spellEnd"/>
            <w:r w:rsidRPr="1FC84CC2">
              <w:rPr>
                <w:rFonts w:ascii="Arial" w:eastAsia="Arial" w:hAnsi="Arial" w:cs="Arial"/>
                <w:i/>
                <w:iCs/>
                <w:color w:val="000000" w:themeColor="text1"/>
              </w:rPr>
              <w:t xml:space="preserve"> pullicaecorum</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{"citationID":"FbjlK7tz","properties":{"formattedCitation":"\\super 28,64,65\\nosupersub{}","plainCitation":"28,64,65","noteIndex":0},"citationItems":[{"id":2829,"uris":["http://zotero.org/users/local/6BakpO76/items/7MK9L2JK"],"itemData":{"id":2829,"type":"article-journal","abstract":"Butyrate-producing bacteria play a key role in colonic health in humans. This review provides an overview of the current knowledge of the diversity, metabolism and microbial ecology of this functionally important group of bacteria. Human colonic butyrate producers are Gram-positive firmicutes, but are phylogenetically diverse, with the two most abundant groups related to Eubacterium rectale/Roseburia spp. and to Faecalibacterium prausnitzii. Five different arrangements have been identified for the genes of the central pathway involved in butyrate synthesis, while in most cases butyryl-CoA : acetate CoA-transferase, rather than butyrate kinase, appears to perform the final step in butyrate synthesis. Mechanisms have been proposed recently in non-gut Clostridium spp. whereby butyrate synthesis can result in energy generation via both substrate-level phosphorylation and proton gradients. Here we suggest that these mechanisms also apply to the majority of butyrate producers from the human colon. The roles of these bacteria in the gut community and their influence on health are now being uncovered, taking advantage of the availability of cultured isolates and molecular methodologies. Populations of F. prausnitzii are reported to be decreased in Crohn's disease, for example, while populations of Roseburia relatives appear to be particularly sensitive to the diet composition in human volunteer studies.","container-title":"FEMS microbiology letters","DOI":"10.1111/j.1574-6968.2009.01514.x","ISSN":"1574-6968","issue":"1","journalAbbreviation":"FEMS Microbiol Lett","language":"eng","note":"PMID: 19222573","page":"1-8","source":"PubMed","title":"Diversity, metabolism and microbial ecology of butyrate-producing bacteria from the human large intestine","volume":"294","author":[{"family":"Louis","given":"Petra"},{"family":"Flint","given":"Harry J."}],"issued":{"date-parts":[["2009",5]]}}},{"id":2910,"uris":["http://zotero.org/users/local/6BakpO76/items/YBPJCB85"],"itemData":{"id":2910,"type":"article-journal","abstract":"The impact of a Mediterranean diet on the intestinal microbiome has been linked to its health benefits. We aim to evaluate the effects of a Mediterranean diet supplemented with dairy foods on the gut microbiome in Australians at risk of cardiovascular disease. In a randomised controlled cross-over study, 34 adults with a systolic blood pressure ≥120 mmHg and with risk factors for cardiovascular disease were randomly allocated to a Mediterranean diet with 3-4 daily serves of dairy foods (Australian recommended daily intake (RDI) of 1000-1300 mg per day (MedDairy)) or a low-fat (LFD) control diet. Between each 8-week diet, participants underwent an 8-week washout period. Microbiota characteristics of stool samples collected at the start and end of each diet period were determined by 16S rRNA amplicon sequencing. MedDairy-associated effects on bacterial relative abundance were correlated with clinical, anthropometric, and cognitive outcomes. No change in the overall faecal microbial structure or composition was observed with either diet (p &gt; 0.05). The MedDairy diet was associated with changes in the relative abundance of several bacterial taxa, including an increase in Butyricicoccus and a decrease in Colinsella and Veillonella (p &lt; 0.05). Increases in Butyricicoccus relative abundance over 8 weeks were inversely correlated with lower systolic blood pressure (r = -0.38, p = 0.026) and positively correlated with changes in fasting glucose levels (r = 0.39, p = 0.019), specifically for the MedDairy group. No significant associations were observed between the altered taxa and anthropometric or cognitive measures (p &gt; 0.05). Compared to a low-fat control diet, the MedDairy diet resulted in changes in the abundance of specific gut bacteria, which were associated with clinical outcomes in adults at risk of CVD.","container-title":"Nutrients","DOI":"10.3390/nu15163645","ISSN":"2072-6643","issue":"16","journalAbbreviation":"Nutrients","language":"eng","note":"PMID: 37630835\nPMCID: PMC10459086","page":"3645","source":"PubMed","title":"Interactions between Mediterranean Diet Supplemented with Dairy Foods and the Gut Microbiota Influence Cardiovascular Health in an Australian Population","volume":"15","author":[{"family":"Choo","given":"Jocelyn M."},{"family":"Murphy","given":"Karen J."},{"family":"Wade","given":"Alexandra T."},{"family":"Wang","given":"Yanan"},{"family":"Bracci","given":"Ella L."},{"family":"Davis","given":"Courtney R."},{"family":"Dyer","given":"Kathryn A."},{"family":"Woodman","given":"Richard J."},{"family":"Hodgson","given":"Jonathan M."},{"family":"Rogers","given":"Geraint B."}],"issued":{"date-parts":[["2023",8,19]]}}},{"id":2904,"uris":["http://zotero.org/users/local/6BakpO76/items/9GJ9P9R2"],"itemData":{"id":2904,"type":"article-journal","abstract":"With the increasing amount of evidence linking certain disorders of the human body to a disturbed gut microbiota, there is a growing interest for compounds that positively influence its composition and activity through diet. Besides the consumption of probiotics to stimulate favorable bacterial communities in the human gastrointestinal tract, prebiotics such as inulin-type fructans (ITF) and arabinoxylan-oligosaccharides (AXOS) can be consumed to increase the number of bifidobacteria in the colon. Several functions have been attributed to bifidobacteria, encompassing degradation of non-digestible carbohydrates, protection against pathogens, production of vitamin B, antioxidants, and conjugated linoleic acids, and stimulation of the immune system. During life, the numbers of bifidobacteria decrease from up to 90% of the total colon microbiota in vaginally delivered breast-fed infants to &lt;5% in the colon of adults and they decrease even more in that of elderly as well as in patients with certain disorders such as antibiotic-associated diarrhea, inflammatory bowel disease, irritable bowel syndrome, obesity, allergies, and regressive autism. It has been suggested that the bifidogenic effects of ITF and AXOS are the result of strain-specific yet complementary carbohydrate degradation mechanisms within cooperating bifidobacterial consortia. Except for a bifidogenic effect, ITF and AXOS also have shown to cause a butyrogenic effect in the human colon, i.e., an enhancement of colon butyrate production. Butyrate is an essential metabolite in the human colon, as it is the preferred energy source for the colon epithelial cells, contributes to the maintenance of the gut barrier functions, and has immunomodulatory and anti-inflammatory properties. It has been shown that the butyrogenic effects of ITF and AXOS are the result of cross-feeding interactions between bifidobacteria and butyrate-producing colon bacteria, such as Faecalibacterium prausnitzii (clostridial cluster IV) and Anaerostipes, Eubacterium, and Roseburia species (clostridial cluster XIVa). These kinds of interactions possibly favor the co-existence of bifidobacterial strains with other bifidobacteria and with butyrate-producing colon bacteria in the human colon.","container-title":"Frontiers in Microbiology","DOI":"10.3389/fmicb.2016.00979","ISSN":"1664-302X","journalAbbreviation":"Front Microbiol","language":"eng","note":"PMID: 27446020\nPMCID: PMC4923077","page":"979","source":"PubMed","title":"Bifidobacteria and Butyrate-Producing Colon Bacteria: Importance and Strategies for Their Stimulation in the Human Gut","title-short":"Bifidobacteria and Butyrate-Producing Colon Bacteria","volume":"7","author":[{"family":"Rivière","given":"Audrey"},{"family":"Selak","given":"Marija"},{"family":"Lantin","given":"David"},{"family":"Leroy","given":"Frédéric"},{"family":"De Vuyst","given":"Luc"}],"issued":{"date-parts":[["2016"]]}}}],"schema":"https://github.com/citation-style-language/schema/raw/master/csl-citation.json"}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28,64,65</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Bifidobacterium adolescentis</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{"citationID":"OuhGfhtg","properties":{"formattedCitation":"\\super 66,67\\nosupersub{}","plainCitation":"66,67","noteIndex":0},"citationItems":[{"id":2913,"uris":["http://zotero.org/users/local/6BakpO76/items/IX5JVPGA"],"itemData":{"id":2913,"type":"article-journal","abstract":"Bifidobacteria are a minor fraction of the human colon microbiota with interesting properties for carbohydrate degradation. Monosaccharides such as glucose and fructose are degraded through the bifid shunt, a dedicated pathway involving phosphoketolase activity. Its stoechiometry learns that three moles of acetate and two moles of lactate are produced per two moles of glucose or fructose that are degraded. However, deviations from this 3 : 2 ratio occur, depending on the rate of substrate consumption. Slower growth rates favour the production of acetate and pyruvate catabolites (such as formate) at the cost of lactate. Interestingly, bifidobacteria are capable to degrade inulin-type fructans (ITF) (oligofructose and inulin) and arabinoxylan-oligosaccharides (AXOS). Beta-fructofuranosidase activity enables bifidobacteria to degrade ITF. However, this property is strain-dependent. Some strains consume both fructose and oligofructose, with different preferences and degradation rates. Small oligosaccharides (degree of polymerization or DP of 2-7) are taken up, in a sequential order, indicating intracellular degradation and as such giving these bacteria a competitive advantage towards other inulin-type fructan degraders such as lactobacilli, bacteroides and roseburias. Other strains consume long fractions of oligofructose and inulin. Exceptionally, oligosaccharides with a DP of up to 20 (long-chain inulin) are consumed by specific strains. Also, the degradation of AXOS by α-arabinofuranosidase and β-xylosidase is strain-dependent. Particular strains consume the arabinose substituents, whether or not together with a consumption of the xylose backbones of AXOS, either up to xylotetraose or higher and either extra- or intracellularly. The production of high amounts of acetate that accompanies inulin-type fructan degradation by bifidobacteria cross-feeds other colon bacteria involved in the production of butyrate. However, bifidobacterial strain-dependent differences in prebiotic degradation indicate the existence of niche-specific adaptations and hence mechanisms to avoid competition among each other and to favour coexistence with other colon bacteria.","container-title":"Journal of Applied Microbiology","DOI":"10.1111/jam.12415","ISSN":"1365-2672","issue":"3","journalAbbreviation":"J Appl Microbiol","language":"eng","note":"PMID: 24314205","page":"477-491","source":"PubMed","title":"Summer Meeting 2013: growth and physiology of bifidobacteria","title-short":"Summer Meeting 2013","volume":"116","author":[{"family":"De Vuyst","given":"L."},{"family":"Moens","given":"F."},{"family":"Selak","given":"M."},{"family":"Rivière","given":"A."},{"family":"Leroy","given":"F."}],"issued":{"date-parts":[["2014",3]]}}},{"id":2915,"uris":["http://zotero.org/users/local/6BakpO76/items/CZ2YM69Z"],"itemData":{"id":2915,"type":"article-journal","abstract":"Prediction of individualized responses is one of biggest challenges in dietary intervention to modulate human gut microbiota. Bacterial interspecies competition for dietary factors should underlie the inter-subject heterogeneity of microbial responses. Microscale localization of bacterial species around intestinal food structures could provide direct evidence for understanding this, however, little information is currently available. Here we analyzed human fecal sections and found multiple types of bacterial colonization of food structures. The most eminent one was dense and frequent colonization of starch granules by Bifidobacterium adolescentis. After intake of raw potato starch (pSt), B. adolescentis dramatically increased in every carrier of the species, accompanied by an increase in bifidobacterial metabolite acetate. In the other subjects, Eubacterium rectale and its metabolite butyrate increased, but it was suppressed in B. adolescentis carriers. A correlation analysis indicated the contribution of these species to respective metabolites. In vitro analyses of isolates of major gut bacterial species confirmed that these species are major colonizers of pSt and that B. adolescentis can colonize pSt even in the presence of the known starch granule-degrading bacterium Ruminococcus bromii. Collectively, we propose that specific binding of B. adolescentis or E. rectale to pSt selectively induces acetogenic or butyrogenic response of gut microbiota, where the former determines the response of the latter.","container-title":"The ISME journal","DOI":"10.1038/s41396-022-01196-w","ISSN":"1751-7370","issue":"6","journalAbbreviation":"ISME J","language":"eng","note":"PMID: 35115640\nPMCID: PMC9123178","page":"1502-1511","source":"PubMed","title":"Selective induction of human gut-associated acetogenic/butyrogenic microbiota based on specific microbial colonization of indigestible starch granules","volume":"16","author":[{"family":"Nagara","given":"Yusuke"},{"family":"Fujii","given":"Daichi"},{"family":"Takada","given":"Toshihiko"},{"family":"Sato-Yamazaki","given":"Mikiko"},{"family":"Odani","given":"Toru"},{"family":"Oishi","given":"Kenji"}],"issued":{"date-parts":[["2022",6]]}}}],"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66,67</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Bifidobacterium breve</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{"citationID":"MZ0UVw38","properties":{"formattedCitation":"\\super 68\\uc0\\u8211{}71\\nosupersub{}","plainCitation":"68–71","noteIndex":0},"citationItems":[{"id":2918,"uris":["http://zotero.org/users/local/6BakpO76/items/C7S3BK9A"],"itemData":{"id":2918,"type":"article-journal","abstract":"Previous data suggested that anti-obesity interventions, such as percutaneous electric neurostimulation and probiotics, could reduce body weight and cardiovascular (CV) risk factors by attenuation of microbiota alterations. However, potential mechanisms of action have not been unveiled, and the production of short-chain fatty acids (SCFAs) might be involved in these responses. This pilot study included two groups of class-I obese patients (N = 10, each) who underwent anti-obesity therapy by percutaneous electric neurostimulations (PENS) and a hypocaloric diet (Diet), with/without the administration of the multi-strain probiotic (Lactobacillus plantarum LP115, Lactobacillus acidophilus LA14, and Bifidobacterium breve B3), for ten weeks. Fecal samples were used for SCFA quantification (by HPLC-MS) in relation to microbiota and anthropometric and clinical variables. In these patients, we previously described a further reduction in obesity and CV risk factors (hyperglycemia, dyslipemia) after PENS-Diet+Prob compared to PENS-Diet alone. Herein, we observed that the administration of probiotics decreased fecal acetate concentrations, and this effect may be linked to the enrichment of Prevotella, Bifidobacterium spp., and Akkermansia muciniphila. Additionally, fecal acetate, propionate, and butyrate are associated with each other, suggesting an additional benefit in colonic absorption. In conclusion, probiotics could help anti-obesity interventions by promoting weight loss and reducing CV risk factors. Likely, modification of microbiota and related SCFA, such as acetate, could improve environmental conditions and permeability in the gut.","container-title":"Nutrients","DOI":"10.3390/nu15051067","ISSN":"2072-6643","issue":"5","journalAbbreviation":"Nutrients","language":"eng","note":"PMID: 36904067\nPMCID: PMC10005340","page":"1067","source":"PubMed","title":"A Pilot Study: The Reduction in Fecal Acetate in Obese Patients after Probiotic Administration and Percutaneous Electrical Neurostimulation","title-short":"A Pilot Study","volume":"15","author":[{"family":"Parascinet","given":"Octavian"},{"family":"Mas","given":"Sebastián"},{"family":"Hang","given":"Tianyu"},{"family":"Llavero","given":"Carolina"},{"family":"Lorenzo","given":"Óscar"},{"family":"Ruiz-Tovar","given":"Jaime"}],"issued":{"date-parts":[["2023",2,21]]}}},{"id":2923,"uris":["http://zotero.org/users/local/6BakpO76/items/DBZQ2K2Q"],"itemData":{"id":2923,"type":"article-journal","abstract":"Psychobiotics are used to treat neurological disorders, including mild cognitive impairment (MCI) and Alzheimer's disease (AD). However, the mechanisms underlying their neuroprotective effects remain unclear. Herein, we report that the administration of bifidobacteria in an AD mouse model improved behavioral abnormalities and modulated gut dysbiosis. Bifidobacterium breve CCFM1025 and WX treatment significantly improved synaptic plasticity and increased the concentrations of brain-derived neurotrophic factor (BDNF), fibronectin type III domain-containing protein 5 (FNDC5), and postsynaptic density protein 95 (PSD-95). Furthermore, the microbiome and metabolomic profiles of mice indicate that specific bacterial taxa and their metabolites correlate with AD-associated behaviors, suggesting that the gut-brain axis contributes to the pathophysiology of AD. Overall, these findings reveal that B. breve CCFM1025 and WX have beneficial effects on cognition via the modulation of the gut microbiome, and thus represent a novel probiotic dietary intervention for delaying the progression of AD.","container-title":"Nutrients","DOI":"10.3390/nu13051602","ISSN":"2072-6643","issue":"5","journalAbbreviation":"Nutrients","language":"eng","note":"PMID: 34064762\nPMCID: PMC8150793","page":"1602","source":"PubMed","title":"Administration of Bifidobacterium breve Improves the Brain Function of Aβ1-42-Treated Mice via the Modulation of the Gut Microbiome","volume":"13","author":[{"family":"Zhu","given":"Guangsu"},{"family":"Zhao","given":"Jianxin"},{"family":"Zhang","given":"Hao"},{"family":"Chen","given":"Wei"},{"family":"Wang","given":"Gang"}],"issued":{"date-parts":[["2021",5,11]]}}},{"id":2927,"uris":["http://zotero.org/users/local/6BakpO76/items/HPZIK6R2"],"itemData":{"id":2927,"type":"article-journal","abstract":"BACKGROUND: Accumulating evidence points to an association between gut microbial abnormalities and depression disorder. The microbiota-gut-brain axis is an emerging target for treating depression using nutritional strategies, considering the numerous limitations of current pharmacological approaches. Here we studied the effect and probable mechanisms of psychobiotic treatment on depression.\nMETHODS: Chronically stressed C57BL/6J male mice were administered viable Bifidobacterium breve CCFM1025 for 5 weeks prior to behavioral testing. Brain neurological alterations, serum corticosterone, cytokines levels, fecal microbial composition, and short-chain fatty acid (SCFA) content were measured. In addition, the effect of SCFA on 5-hydroxytryptophan (5-HTP) biosynthesis was investigated in an in vitro model of enterochromaffin cells (RIN14B).\nRESULTS: CCFM1025 treatment significantly reduced depression- and anxiety-like behaviors. The hyperactive hypothalamic-pituitary-adrenal response, as well as inflammation, were also alleviated, possibly via regulating the expression of glucocorticoid receptors (Nr3c1). Moreover, CCFM1025 also down-regulated the pCREB-c-Fos pathway but increased the expression of brain-derived neurotrophic factor (BDNF). Meanwhile, chronic stress-induced gut microbial abnormalities were restored, accompanied by increased SCFA and 5-HTP levels. The intestinal 5-HTP biosynthesis positively correlated with fecal SCFA and Bifidobacterium breve levels.\nCONCLUSIONS: In summary, Bifidobacterium breve CCFM1025 showed considerable antidepressant-like and microbiota-regulating effects, which opens avenues for novel therapeutic strategies towards treating depression.","container-title":"Neurobiology of Stress","DOI":"10.1016/j.ynstr.2020.100216","ISSN":"2352-2895","journalAbbreviation":"Neurobiol Stress","language":"eng","note":"PMID: 32258258\nPMCID: PMC7109524","page":"100216","source":"PubMed","title":"Towards a psychobiotic therapy for depression: Bifidobacterium breve CCFM1025 reverses chronic stress-induced depressive symptoms and gut microbial abnormalities in mice","title-short":"Towards a psychobiotic therapy for depression","volume":"12","author":[{"family":"Tian","given":"Peijun"},{"family":"O'Riordan","given":"Kenneth J."},{"family":"Lee","given":"Yuan-Kun"},{"family":"Wang","given":"Gang"},{"family":"Zhao","given":"Jianxin"},{"family":"Zhang","given":"Hao"},{"family":"Cryan","given":"John F."},{"family":"Chen","given":"Wei"}],"issued":{"date-parts":[["2020",5]]}}},{"id":2921,"uris":["http://zotero.org/users/local/6BakpO76/items/Q98XWNRX"],"itemData":{"id":2921,"type":"article-journal","abstract":"Alzheimer's disease (AD) is characterized by behavioral and cognitive impairments and its increasing prevalence imposes a healthcare burden on society. To date, most intervention studies have only focused on a single AD-related factor and have yielded modest cognitive improvements. Here, we show that environmental enrichment (EE) training combined with Bifidobacterium breve CCFM1025 intervention significantly alleviated amyloid-β (Aβ)-induced cognitive impairment and inhibited neuroinflammation in mice. Moreover, we found that EE combined with B. breve CCFM1025 treatment restored AD-associated gut microbiota dysbiosis and reversed microbial metabolites changes. By integrating behavioral and neurological data with metabolomic profiles, we corroborated the microbiota-metabolite-brain interactions, with acetate and tryptophan metabolism as potential drivers. Taken together, our results provide a promising multidomain intervention strategy to prevent cognitive decline and delay the progression of AD through a combination of dietary microbiome-based approaches and lifestyle interventions.","container-title":"Frontiers in Immunology","DOI":"10.3389/fimmu.2022.1013664","ISSN":"1664-3224","journalAbbreviation":"Front Immunol","language":"eng","note":"PMID: 36203603\nPMCID: PMC9530393","page":"1013664","source":"PubMed","title":"Bifidobacterium breve intervention combined with environmental enrichment alleviates cognitive impairment by regulating the gut microbiota and microbial metabolites in Alzheimer's disease mice","volume":"13","author":[{"family":"Zhu","given":"Guangsu"},{"family":"Guo","given":"Min"},{"family":"Zhao","given":"Jianxin"},{"family":"Zhang","given":"Hao"},{"family":"Wang","given":"Gang"},{"family":"Chen","given":"Wei"}],"issued":{"date-parts":[["2022"]]}}}],"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68–71</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Ruminococcus</w:t>
            </w:r>
            <w:proofErr w:type="spellEnd"/>
            <w:r w:rsidRPr="1FC84CC2">
              <w:rPr>
                <w:rFonts w:ascii="Arial" w:eastAsia="Arial" w:hAnsi="Arial" w:cs="Arial"/>
                <w:i/>
                <w:iCs/>
                <w:color w:val="000000" w:themeColor="text1"/>
              </w:rPr>
              <w:t xml:space="preserve"> </w:t>
            </w:r>
            <w:proofErr w:type="spellStart"/>
            <w:r w:rsidRPr="1FC84CC2">
              <w:rPr>
                <w:rFonts w:ascii="Arial" w:eastAsia="Arial" w:hAnsi="Arial" w:cs="Arial"/>
                <w:i/>
                <w:iCs/>
                <w:color w:val="000000" w:themeColor="text1"/>
              </w:rPr>
              <w:t>obeum</w:t>
            </w:r>
            <w:proofErr w:type="spellEnd"/>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Ruminococcus</w:t>
            </w:r>
            <w:proofErr w:type="spellEnd"/>
            <w:r w:rsidRPr="1FC84CC2">
              <w:rPr>
                <w:rFonts w:ascii="Arial" w:eastAsia="Arial" w:hAnsi="Arial" w:cs="Arial"/>
                <w:i/>
                <w:iCs/>
                <w:color w:val="000000" w:themeColor="text1"/>
              </w:rPr>
              <w:t xml:space="preserve"> flavefaciens</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{"citationID":"wKiovk92","properties":{"formattedCitation":"\\super 72\\uc0\\u8211{}74\\nosupersub{}","plainCitation":"72–74","noteIndex":0},"citationItems":[{"id":2940,"uris":["http://zotero.org/users/local/6BakpO76/items/KDZF9W4Z"],"itemData":{"id":2940,"type":"article-journal","abstract":"INTRODUCTION: Vascular calcification (VC) is an independent risk factor for cardiovascular mortality in end-stage renal disease (ESRD) patients. The pathogenesis of VC is complicated and unclear. Uremic toxins produced by gut microbiota can promote VC. This study aims to identify the differences in gut microbiota between the different VC groups and the main bacteria associated with VC in hemodialysis (HD) patients in an attempt to open up new preventive and therapeutic approaches and define the probable mechanism for VC in HD patients in the future.\nMETHODS: A total of 73 maintenance HD patients were enrolled in this cross-sectional study. According to the abdominal aortic calcification (AAC) scores, the participants were divided into the high AAC score group and the low AAC score group. High-throughput sequencing of the gut microbiota was performed and the results were evaluated by alpha diversity, beta diversity, species correlation, and model predictive analyses.\nRESULTS: The prevalence of VC was 54.79% (40/73) in the study. The majority of phyla in the two groups were the same, including Firmicutes, Actinobacteriota, Proteobacteria, and Bacteroidota. The microbial diversity in the high AAC score group had a decreasing trend (p = 0.050), and the species abundance was significantly lower (p = 0.044) than that in the low AAC score group. The HD patients with high AAC scores showed an increased abundance of Proteobacteria and decreased abundances of Bacteroidota and Synergistota at the phylum level; increased abundances of Escherichia-Shigella, Ruminococcus_gnavus_group, and Lactobacillus; and decreased abundances of Ruminococcus and Lachnospiraceae_NK4A136_group at the genus level (p&lt;0.05). Escherichia-Shigella and Ruminococcus_gnavus_group were positively correlated with VC, and Ruminococcus, Adlercreutzia, Alistipes, and norank_f__Ruminococcaceae were negatively correlated with VC. Escherichia-Shigella had the greatest influence on VC in HD patients, followed by Ruminococcus and Butyricimonas.\nCONCLUSIONS: Our results provide clinical evidence that there was a difference in gut microbiota between the different VC groups in HD patients. Escherichia-Shigella, a lipopolysaccharide (LPS)-producing bacterium, was positively correlated with VC and had the greatest influence on VC. Ruminococcus, a short-chain fatty acid (SCFA)-producing bacterium, was negatively correlated with VC and had the second strongest influence on VC in HD patients. The underlying mechanism is worth studying. These findings hint at a new therapeutic target.","container-title":"Renal Failure","DOI":"10.1080/0886022X.2022.2148538","ISSN":"1525-6049","issue":"1","journalAbbreviation":"Ren Fail","language":"eng","note":"PMID: 36632746\nPMCID: PMC9848239","page":"2148538","source":"PubMed","title":"Relationship between gut microbiota and vascular calcification in hemodialysis patients","volume":"45","author":[{"family":"Bao","given":"Wen-Han"},{"family":"Yang","given":"Wen-Ling"},{"family":"Su","given":"Chun-Yan"},{"family":"Lu","given":"Xin-Hong"},{"family":"He","given":"Lian"},{"family":"Zhang","given":"Ai-Hua"}],"issued":{"date-parts":[["2023",12]]}}},{"id":2936,"uris":["http://zotero.org/users/local/6BakpO76/items/M62EEKM2"],"itemData":{"id":2936,"type":"article-journal","abstract":"BACKGROUND: The relationship between chronic kidney disease (CKD) and the gut microbiome, which interact through chronic inflammation, uraemic toxin production and immune response regulation, has gained interest in the development of CKD therapies. However, reports using shotgun metagenomic analysis of the gut microbiome are scarce, especially for early CKD. Here we characterized gut microbiome differences between non-CKD participants and ones with early CKD using metagenomic sequencing.\nMETHODS: In total, 74 non-CKD participants and 37 participants with early CKD were included based on propensity score matching, controlling for various factors including dietary intake. Stool samples were collected from participants and subjected to shotgun sequencing. Bacterial and pathway abundances were profiled at the species level with MetaPhlAn2 and HUMAnN2, respectively, and overall microbiome differences were determined using Bray-Curtis dissimilarities. Diabetic and non-diabetic populations were analysed separately.\nRESULTS: For diabetic and non-diabetic participants, the mean estimated glomerular filtration rates of the CKD group were 53.71 [standard deviation (SD) 3.87] and 53.72 (SD 4.44), whereas those of the non-CKD group were 72.63 (SD 7.72) and 76.10 (SD 9.84), respectively. Alpha and beta diversities were not significantly different between groups. Based on taxonomic analysis, butyrate-producing species Roseburia inulinivorans, Ruminococcus torques and Ruminococcus lactaris were more abundant in the non-CKD group, whereas Bacteroides caccae and Bacteroides coprocora were more abundant in the non-diabetic CKD group.\nCONCLUSIONS: Although gut microbiome changes in individuals with early CKD were subtle, the results suggest that changes related to producing short-chain fatty acids can already be observed in early CKD.","container-title":"Nephrology, Dialysis, Transplantation: Official Publication of the European Dialysis and Transplant Association - European Renal Association","DOI":"10.1093/ndt/gfaa122","ISSN":"1460-2385","issue":"9","journalAbbreviation":"Nephrol Dial Transplant","language":"eng","note":"PMID: 32869063","page":"1675-1684","source":"PubMed","title":"Metagenomic profiling of gut microbiome in early chronic kidney disease","volume":"36","author":[{"family":"Sato","given":"Noriaki"},{"family":"Kakuta","given":"Masanori"},{"family":"Hasegawa","given":"Takanori"},{"family":"Yamaguchi","given":"Rui"},{"family":"Uchino","given":"Eiichiro"},{"family":"Murashita","given":"Koichi"},{"family":"Nakaji","given":"Shigeyuki"},{"family":"Imoto","given":"Seiya"},{"family":"Yanagita","given":"Motoko"},{"family":"Okuno","given":"Yasushi"}],"issued":{"date-parts":[["2021",8,27]]}}},{"id":2933,"uris":["http://zotero.org/users/local/6BakpO76/items/3GYJ6HLS"],"itemData":{"id":2933,"type":"article-journal","abstract":"OBJECTIVE: This study aims to explore the associations between diet quality, uraemic toxins, and gastrointestinal microbiota in the chronic kidney disease (CKD) population.\nMETHODS: This is a baseline cross-sectional study of adults with CKD participating in a randomized controlled trial of prebiotic and probiotic supplementation. Dietary intake was measured using a seven-day diet history method, administered by a specialist dietitian. Diet quality was assessed using plant-based diet index (PDI) (overall PDI, healthy PDI, and unhealthy PDI), food group analysis, protein intake, fiber intake, and dietary protein-to-fiber ratio. Serum uraemic toxins (free and total; indoxyl sulfate and p-cresyl sulfate) were determined by ultraperformance liquid chromatography. Gastrointestinal microbiota richness, diversity, composition, and functional capacity were analyzed via metagenomic sequencing.\nRESULTS: Sixty-eight adults [median age: 70 (interquartile range: 58-75) years, 66% male] with an estimated glomerular filtration rate of 34 ± 11 mL/min/1.73 m2 were included, with 40 participants completing the optional fecal substudy. Dietary fiber intake was associated with lower levels of total indoxyl sulfate, whereas the healthy plant-based diet index was associated with lower levels of free p-cresyl sulfate. A higher protein-to-fiber ratio was associated with an increased relative abundance of unclassified members of order Oscillospirales. Intake of vegetables and whole grains was correlated with Subdoligranulum formicile, whereas an unclassified Prevotella species was correlated with potatoes and food items considered discretionary, including sweet drinks, sweet desserts, and animal fats.\nCONCLUSIONS: Diet quality may influence uraemic toxin generation and gut microbiota diversity, composition, and function in adults with CKD. Well-designed dietary intervention studies targeting the production of uraemic toxins and exploring the impact on gut microbiome are warranted in the CKD population.","container-title":"Journal of Renal Nutrition: The Official Journal of the Council on Renal Nutrition of the National Kidney Foundation","DOI":"10.1053/j.jrn.2021.10.003","ISSN":"1532-8503","issue":"5","journalAbbreviation":"J Ren Nutr","language":"eng","note":"PMID: 34776340","page":"542-551","source":"PubMed","title":"Diet Quality and Protein-Bound Uraemic Toxins: Investigation of Novel Risk Factors and the Role of Microbiome in Chronic Kidney Disease","title-short":"Diet Quality and Protein-Bound Uraemic Toxins","volume":"32","author":[{"family":"McFarlane","given":"Catherine"},{"family":"Krishnasamy","given":"Rathika"},{"family":"Stanton","given":"Tony"},{"family":"Savill","given":"Emma"},{"family":"Snelson","given":"Matthew"},{"family":"Mihala","given":"Gabor"},{"family":"Morrison","given":"Mark"},{"family":"Johnson","given":"David W."},{"family":"Campbell","given":"Katrina L."}],"issued":{"date-parts":[["2022",9]]}}}],"schema":"https://github.com/citation-style-language/schema/raw/master/csl-citation.json"}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72–74</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Prevotella</w:t>
            </w:r>
            <w:proofErr w:type="spellEnd"/>
            <w:r w:rsidRPr="1FC84CC2">
              <w:rPr>
                <w:rFonts w:ascii="Arial" w:eastAsia="Arial" w:hAnsi="Arial" w:cs="Arial"/>
                <w:i/>
                <w:iCs/>
                <w:color w:val="000000" w:themeColor="text1"/>
              </w:rPr>
              <w:t xml:space="preserve"> copri</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{"citationID":"ByV9S3zW","properties":{"formattedCitation":"\\super 75\\uc0\\u8211{}77\\nosupersub{}","plainCitation":"75–77","noteIndex":0},"citationItems":[{"id":2948,"uris":["http://zotero.org/users/local/6BakpO76/items/N3W92Q77"],"itemData":{"id":2948,"type":"article-journal","abstract":"Six strains (CB7(T), CB18, CB23, CB26, CB28 and CB35(T)) were isolated from human faeces. Based on phylogenetic analysis, phenotypic characteristics, cellular fatty acid profiles and menaquinone profiles, these strains could be included within the genus Prevotella and made up two clusters. 16S rRNA gene sequence analysis indicated that five strains were most closely related to Prevotella veroralis, sharing about 92 % sequence similarity; the remaining strain was most closely related to Prevotella shahii, sharing about 90 % sequence similarity. All six strains were obligately anaerobic, non-pigmented, non-spore-forming, non-motile, Gram-negative rods. The cellular fatty acid compositions of the six strains differed significantly from those of other Prevotella species. Five strains (CB7(T), CB18, CB23, CB26 and CB28) contained dimethyl acetals and the major menaquinones of these strains were MK-11, MK-12 and MK-13. The major menaquinones of CB35(T) were MK-12 and MK-13. Based on phenotypic and phylogenetic findings, two novel species, Prevotella copri sp. nov. and Prevotella stercorea sp. nov., are proposed, representing the two different strain clusters. The DNA G+C contents of strains CB7(T) and CB35(T) were 45.3 and 48.2 mol%, respectively. The type strains of P. copri and P. stercorea are CB7(T) (=JCM 13464(T)=DSM 18205(T)) and CB35(T) (=JCM 13469(T)=DSM 18206(T)), respectively.","container-title":"International Journal of Systematic and Evolutionary Microbiology","DOI":"10.1099/ijs.0.64778-0","ISSN":"1466-5026","issue":"Pt 5","journalAbbreviation":"Int J Syst Evol Microbiol","language":"eng","note":"PMID: 17473237","page":"941-946","source":"PubMed","title":"Prevotella copri sp. nov. and Prevotella stercorea sp. nov., isolated from human faeces","volume":"57","author":[{"family":"Hayashi","given":"Hidenori"},{"family":"Shibata","given":"Kensaku"},{"family":"Sakamoto","given":"Mitsuo"},{"family":"Tomita","given":"Shinichi"},{"family":"Benno","given":"Yoshimi"}],"issued":{"date-parts":[["2007",5]]}}},{"id":2946,"uris":["http://zotero.org/users/local/6BakpO76/items/6PWRGI55"],"itemData":{"id":2946,"type":"article-journal","abstract":"Both preclinical and established rheumatoid arthritis (RA) patients display alterations in the gut microbiome. Prevotella spp. are preferentially enriched in a subset of RA patients. Here, we isolated a Prevotella strain, P. copri RA, from the feces of RA patients and showed that colonization of P. copri RA exacerbated arthritis in a collagen-induced arthritis (CIA) model. With the presence of P. copri RA colonization, a high-fiber diet exacerbated arthritis via microbial alterations and intestinal inflammation. Colonization of P. copri together with a high-fiber diet enabled the digestion of complex fiber, which led to the overproduction of organic acids, including fumarate, succinate and short-chain fatty acids. Succinate promoted proinflammatory responses in macrophages, and supplementation with succinate exacerbated arthritis in the CIA model. Our findings highlight the importance of dysbiosis when evaluating the effects of dietary interventions on RA pathogenesis and provide new insight into dietary interventions or microbiome modifications to improve RA management.","container-title":"Cellular &amp; Molecular Immunology","DOI":"10.1038/s41423-022-00934-6","ISSN":"2042-0226","issue":"12","journalAbbreviation":"Cell Mol Immunol","language":"eng","note":"PMID: 36323929\nPMCID: PMC9709035","page":"1414-1424","source":"PubMed","title":"A high-fiber diet synergizes with Prevotella copri and exacerbates rheumatoid arthritis","volume":"19","author":[{"family":"Jiang","given":"Lingjuan"},{"family":"Shang","given":"Mengmeng"},{"family":"Yu","given":"Shengnan"},{"family":"Liu","given":"Yudong"},{"family":"Zhang","given":"Hui"},{"family":"Zhou","given":"Yangzhong"},{"family":"Wang","given":"Min"},{"family":"Wang","given":"Tingting"},{"family":"Li","given":"Hui"},{"family":"Liu","given":"Zhihua"},{"family":"Zhang","given":"Xuan"}],"issued":{"date-parts":[["2022",12]]}}},{"id":2943,"uris":["http://zotero.org/users/local/6BakpO76/items/MJRBF6QV"],"itemData":{"id":2943,"type":"article-journal","abstract":"The human gut microbiota is a crucial factor for the host's physiology with respect to health and disease. Metagenomic shotgun sequencing of microbial gut communities revealed that Prevotella copri is one of the most important players in the gastrointestinal tract of many individuals. Because of the importance of this bacterium we analyzed the growth behavior and the central metabolic pathways of P. copri. Bioinformatic data, transcriptome profiling and enzyme activity measurements indicated that the major pathways are based on glycolysis and succinate production from fumarate. In addition, pyruvate can be degraded to acetate and formate. Electron transport phosphorylation depends on fumarate respiration with NADH and reduced ferredoxin as electron donors. In contrast to Bacteroides vulgatus, P. copri showed a more pronounced dependency on the addition of CO2 or bicarbonate for biomass formation, which is a remarkable difference between P. copri and Bacteroides spp. with important implication in the context of gut microbial competition. The analysis of substrate consumption and product concentrations from many P. copri cultures with different optical densities allowed a prediction of the carbon and electron flow in the central metabolism and a detailed calculation of growth yields as well as carbon and redox balances.","container-title":"Molecular Microbiology","DOI":"10.1111/mmi.14058","ISSN":"1365-2958","issue":"4","journalAbbreviation":"Mol Microbiol","language":"eng","note":"PMID: 29995973","page":"528-540","source":"PubMed","title":"Physiology and central carbon metabolism of the gut bacterium Prevotella copri","volume":"109","author":[{"family":"Franke","given":"Thomas"},{"family":"Deppenmeier","given":"Uwe"}],"issued":{"date-parts":[["2018",8]]}}}],"schema":"https://github.com/citation-style-language/schema/raw/master/csl-citation.json"}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75–77</w:t>
            </w:r>
            <w:r w:rsidR="2EBACE1F" w:rsidRPr="1FC84CC2">
              <w:rPr>
                <w:rFonts w:ascii="Arial" w:eastAsia="Arial" w:hAnsi="Arial" w:cs="Arial"/>
                <w:i/>
                <w:iCs/>
                <w:color w:val="000000" w:themeColor="text1"/>
              </w:rPr>
              <w:fldChar w:fldCharType="end"/>
            </w:r>
            <w:r w:rsidRPr="1FC84CC2">
              <w:rPr>
                <w:rFonts w:ascii="Arial" w:eastAsia="Arial" w:hAnsi="Arial" w:cs="Arial"/>
                <w:i/>
                <w:iCs/>
                <w:color w:val="000000" w:themeColor="text1"/>
              </w:rPr>
              <w:t xml:space="preserve"> | </w:t>
            </w:r>
            <w:proofErr w:type="spellStart"/>
            <w:r w:rsidRPr="1FC84CC2">
              <w:rPr>
                <w:rFonts w:ascii="Arial" w:eastAsia="Arial" w:hAnsi="Arial" w:cs="Arial"/>
                <w:i/>
                <w:iCs/>
                <w:color w:val="000000" w:themeColor="text1"/>
              </w:rPr>
              <w:t>Prevotella</w:t>
            </w:r>
            <w:proofErr w:type="spellEnd"/>
            <w:r w:rsidRPr="1FC84CC2">
              <w:rPr>
                <w:rFonts w:ascii="Arial" w:eastAsia="Arial" w:hAnsi="Arial" w:cs="Arial"/>
                <w:i/>
                <w:iCs/>
                <w:color w:val="000000" w:themeColor="text1"/>
              </w:rPr>
              <w:t xml:space="preserve"> ruminicola</w:t>
            </w:r>
            <w:r w:rsidR="2EBACE1F" w:rsidRPr="1FC84CC2">
              <w:rPr>
                <w:rFonts w:ascii="Arial" w:eastAsia="Arial" w:hAnsi="Arial" w:cs="Arial"/>
                <w:i/>
                <w:iCs/>
                <w:color w:val="000000" w:themeColor="text1"/>
              </w:rPr>
              <w:fldChar w:fldCharType="begin"/>
            </w:r>
            <w:r w:rsidR="00F80CF1">
              <w:rPr>
                <w:rFonts w:ascii="Arial" w:eastAsia="Arial" w:hAnsi="Arial" w:cs="Arial"/>
                <w:i/>
                <w:iCs/>
                <w:color w:val="000000" w:themeColor="text1"/>
              </w:rPr>
              <w:instrText xml:space="preserve"> ADDIN ZOTERO_ITEM CSL_CITATION {"citationID":"c9Id9iqn","properties":{"formattedCitation":"\\super 78\\nosupersub{}","plainCitation":"78","noteIndex":0},"citationItems":[{"id":2951,"uris":["http://zotero.org/users/local/6BakpO76/items/Y78WNCGJ"],"itemData":{"id":2951,"type":"article-journal","abstract":"Bacteriodes ruminicola grown on complex medium with glucose as carbon source gave acetate, CO2, formate and succinate as main fermentation products. No evidence was found for significant glucose catabolism by pathways other than the Embden-Meyerhof sequence. However, [U-14C]glucose fermentation gave products whose specific radioactivities were much lower than expected. There appear to be two main causes. Firstly, a rapid exchange occurred between metabolic intermediates and CO2, probably due to reversibility of the pathway between phosphoenolpyruvate and fumarate. Secondly, non-glucose precursors, mainly peptides and acetate, added to the medium as growth factors, also gave rise to the above end-products. The distortions that such reactions introduce into measurements of ATP molar growth yields based on product analyses and measurements of carbon flux based on radioactivity recovered in products are discussed.","container-title":"Journal of General Microbiology","DOI":"10.1099/00221287-106-2-353","ISSN":"0022-1287","issue":"2","journalAbbreviation":"J Gen Microbiol","language":"eng","note":"PMID: 670931","page":"353-360","source":"PubMed","title":"Origins of fermentation products formed during growth of Bacteroides ruminicola on glucose","volume":"106","author":[{"family":"Mountfort","given":"D. O."},{"family":"Roberton","given":"A. M."}],"issued":{"date-parts":[["1978",6]]}}}],"schema":"https://github.com/citation-style-language/schema/raw/master/csl-citation.json"} </w:instrText>
            </w:r>
            <w:r w:rsidR="2EBACE1F" w:rsidRPr="1FC84CC2">
              <w:rPr>
                <w:rFonts w:ascii="Arial" w:eastAsia="Arial" w:hAnsi="Arial" w:cs="Arial"/>
                <w:i/>
                <w:iCs/>
                <w:color w:val="000000" w:themeColor="text1"/>
              </w:rPr>
              <w:fldChar w:fldCharType="separate"/>
            </w:r>
            <w:r w:rsidR="00F80CF1" w:rsidRPr="00F80CF1">
              <w:rPr>
                <w:rFonts w:ascii="Arial" w:hAnsi="Arial" w:cs="Arial"/>
                <w:color w:val="000000"/>
                <w:vertAlign w:val="superscript"/>
              </w:rPr>
              <w:t>78</w:t>
            </w:r>
            <w:r w:rsidR="2EBACE1F" w:rsidRPr="1FC84CC2">
              <w:rPr>
                <w:rFonts w:ascii="Arial" w:eastAsia="Arial" w:hAnsi="Arial" w:cs="Arial"/>
                <w:i/>
                <w:iCs/>
                <w:color w:val="000000" w:themeColor="text1"/>
              </w:rPr>
              <w:fldChar w:fldCharType="end"/>
            </w:r>
            <w:r w:rsidRPr="1FC84CC2">
              <w:rPr>
                <w:rFonts w:ascii="Arial" w:eastAsia="Arial" w:hAnsi="Arial" w:cs="Arial"/>
                <w:color w:val="000000" w:themeColor="text1"/>
              </w:rPr>
              <w:t> </w:t>
            </w:r>
          </w:p>
        </w:tc>
      </w:tr>
      <w:tr w:rsidR="00580A30" w:rsidRPr="00C42BF6" w14:paraId="70A16488" w14:textId="77777777" w:rsidTr="1FC84CC2">
        <w:trPr>
          <w:trHeight w:val="855"/>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5A3529"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Acetate Producing Bacteria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B62B21" w14:textId="5BB25A32" w:rsidR="277E52C9" w:rsidRPr="00C42BF6" w:rsidRDefault="2EBACE1F" w:rsidP="2EBACE1F">
            <w:pPr>
              <w:jc w:val="center"/>
              <w:rPr>
                <w:rFonts w:ascii="Arial" w:eastAsia="Arial" w:hAnsi="Arial" w:cs="Arial"/>
                <w:color w:val="000000"/>
              </w:rPr>
            </w:pPr>
            <w:r w:rsidRPr="00C42BF6">
              <w:rPr>
                <w:rFonts w:ascii="Arial" w:eastAsia="Arial" w:hAnsi="Arial" w:cs="Arial"/>
                <w:i/>
                <w:iCs/>
                <w:color w:val="000000"/>
              </w:rPr>
              <w:t>Bacteroides thetaiotaomicron</w:t>
            </w:r>
            <w:r w:rsidR="00D4535B"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{"citationID":"nO8Zzs2Q","properties":{"formattedCitation":"\\super 30,30\\uc0\\u8211{}35\\nosupersub{}","plainCitation":"30,30–35","noteIndex":0},"citationItems":[{"id":2959,"uris":["http://zotero.org/users/local/6BakpO76/items/R2XSMMDA"],"itemData":{"id":2959,"type":"article-journal","abstract":"BACKGROUND: The intestinal mucus layer plays a key role in the maintenance of host-microbiota homeostasis. To document the crosstalk between the host and microbiota, we used gnotobiotic models to study the influence of two major commensal bacteria, Bacteroides thetaiotaomicron and Faecalibacterium prausnitzii, on this intestinal mucus layer. B. thetaiotaomicron is known to use polysaccharides from mucus, but its effect on goblet cells has not been addressed so far. F. prausnitzii is of particular physiological importance because it can be considered as a sensor and a marker of human health. We determined whether B. thetaiotaomicron affected goblet cell differentiation, mucin synthesis and glycosylation in the colonic epithelium. We then investigated how F. prausnitzii influenced the colonic epithelial responses to B. thetaiotaomicron.\nRESULTS: B. thetaiotaomicron, an acetate producer, increased goblet cell differentiation, expression of mucus-related genes and the ratio of sialylated to sulfated mucins in mono-associated rats. B. thetaiotaomicron, therefore, stimulates the secretory lineage, favoring mucus production. When B. thetaiotaomicron was associated with F. prausnitzii, an acetate consumer and a butyrate producer, the effects on goblet cells and mucin glycosylation were diminished. F. prausnitzii, by attenuating the effects of B. thetaiotaomicron on mucus, may help the epithelium to maintain appropriate proportions of different cell types of the secretory lineage. Using a mucus-producing cell line, we showed that acetate up-regulated KLF4, a transcription factor involved in goblet cell differentiation.\nCONCLUSIONS: B. thetaiotaomicron and F. prausnitzii, which are metabolically complementary, modulate, in vivo, the intestinal mucus barrier by modifying goblet cells and mucin glycosylation. Our study reveals the importance of the balance between two main commensal bacteria in maintaining colonic epithelial homeostasis via their respective effects on mucus.","container-title":"BMC biology","DOI":"10.1186/1741-7007-11-61","ISSN":"1741-7007","journalAbbreviation":"BMC Biol","language":"eng","note":"PMID: 23692866\nPMCID: PMC3673873","page":"61","source":"PubMed","title":"Bacteroides thetaiotaomicron and Faecalibacterium prausnitzii influence the production of mucus glycans and the development of goblet cells in the colonic epithelium of a gnotobiotic model rodent","volume":"11","author":[{"family":"Wrzosek","given":"Laura"},{"family":"Miquel","given":"Sylvie"},{"family":"Noordine","given":"Marie-Louise"},{"family":"Bouet","given":"Stephan"},{"family":"Joncquel Chevalier-Curt","given":"Marie"},{"family":"Robert","given":"Véronique"},{"family":"Philippe","given":"Catherine"},{"family":"Bridonneau","given":"Chantal"},{"family":"Cherbuy","given":"Claire"},{"family":"Robbe-Masselot","given":"Catherine"},{"family":"Langella","given":"Philippe"},{"family":"Thomas","given":"Muriel"}],"issued":{"date-parts":[["2013",5,21]]}}},{"id":2959,"uris":["http://zotero.org/users/local/6BakpO76/items/R2XSMMDA"],"itemData":{"id":2959,"type":"article-journal","abstract":"BACKGROUND: The intestinal mucus layer plays a key role in the maintenance of host-microbiota homeostasis. To document the crosstalk between the host and microbiota, we used gnotobiotic models to study the influence of two major commensal bacteria, Bacteroides thetaiotaomicron and Faecalibacterium prausnitzii, on this intestinal mucus layer. B. thetaiotaomicron is known to use polysaccharides from mucus, but its effect on goblet cells has not been addressed so far. F. prausnitzii is of particular physiological importance because it can be considered as a sensor and a marker of human health. We determined whether B. thetaiotaomicron affected goblet cell differentiation, mucin synthesis and glycosylation in the colonic epithelium. We then investigated how F. prausnitzii influenced the colonic epithelial responses to B. thetaiotaomicron.\nRESULTS: B. thetaiotaomicron, an acetate producer, increased goblet cell differentiation, expression of mucus-related genes and the ratio of sialylated to sulfated mucins in mono-associated rats. B. thetaiotaomicron, therefore, stimulates the secretory lineage, favoring mucus production. When B. thetaiotaomicron was associated with F. prausnitzii, an acetate consumer and a butyrate producer, the effects on goblet cells and mucin glycosylation were diminished. F. prausnitzii, by attenuating the effects of B. thetaiotaomicron on mucus, may help the epithelium to maintain appropriate proportions of different cell types of the secretory lineage. Using a mucus-producing cell line, we showed that acetate up-regulated KLF4, a transcription factor involved in goblet cell differentiation.\nCONCLUSIONS: B. thetaiotaomicron and F. prausnitzii, which are metabolically complementary, modulate, in vivo, the intestinal mucus barrier by modifying goblet cells and mucin glycosylation. Our study reveals the importance of the balance between two main commensal bacteria in maintaining colonic epithelial homeostasis via their respective effects on mucus.","container-title":"BMC biology","DOI":"10.1186/1741-7007-11-61","ISSN":"1741-7007","journalAbbreviation":"BMC Biol","language":"eng","note":"PMID: 23692866\nPMCID: PMC3673873","page":"61","source":"PubMed","title":"Bacteroides thetaiotaomicron and Faecalibacterium prausnitzii influence the production of mucus glycans and the development of goblet cells in the colonic epithelium of a gnotobiotic model rodent","volume":"11","author":[{"family":"Wrzosek","given":"Laura"},{"family":"Miquel","given":"Sylvie"},{"family":"Noordine","given":"Marie-Louise"},{"family":"Bouet","given":"Stephan"},{"family":"Joncquel Chevalier-Curt","given":"Marie"},{"family":"Robert","given":"Véronique"},{"family":"Philippe","given":"Catherine"},{"family":"Bridonneau","given":"Chantal"},{"family":"Cherbuy","given":"Claire"},{"family":"Robbe-Masselot","given":"Catherine"},{"family":"Langella","given":"Philippe"},{"family":"Thomas","given":"Muriel"}],"issued":{"date-parts":[["2013",5,21]]}}},{"id":2968,"uris":["http://zotero.org/users/local/6BakpO76/items/K75AJD95"],"itemData":{"id":2968,"type":"article-journal","abstract":"Understanding how members of the human gut microbiota prioritize nutrient resources is one component of a larger effort to decipher the mechanisms defining microbial community robustness and resiliency in health and disease. This knowledge is foundational for development of microbiota-directed therapeutics. To model how bacteria prioritize glycans in the gut, germfree mice were colonized with 13 human gut bacterial strains, including seven saccharolytic Bacteroidaceae species. Animals were fed a Western diet supplemented with pea fiber. After community assembly, an inducible CRISPR-based system was used to selectively and temporarily reduce the absolute abundance of Bacteroides thetaiotaomicron or B. cellulosilyticus by 10- to 60-fold. Each knockdown resulted in specific, reproducible increases in the abundances of other Bacteroidaceae and dynamic alterations in their expression of genes involved in glycan utilization. Emergence of these \"alternate consumers\" was associated with preservation of community saccharolytic activity. Using an inducible system for CRISPR base editing in vitro, we disrupted translation of transporters critical for utilizing dietary polysaccharides in Phocaeicola vulgatus, a B. cellulosilyticus knockdown-responsive taxon. In vitro and in vivo tests of the resulting P. vulgatus mutants allowed us to further characterize mechanisms associated with its increased fitness after knockdown. In principle, the approach described can be applied to study utilization of a range of nutrients and to preclinical efforts designed to develop therapeutic strategies for precision manipulation of microbial communities.","container-title":"Proceedings of the National Academy of Sciences of the United States of America","DOI":"10.1073/pnas.2311422120","ISSN":"1091-6490","issue":"39","journalAbbreviation":"Proc Natl Acad Sci U S A","language":"eng","note":"PMID: 37733741\nPMCID: PMC10523453","page":"e2311422120","source":"PubMed","title":"Inducible CRISPR-targeted \"knockdown\" of human gut Bacteroides in gnotobiotic mice discloses glycan utilization strategies","volume":"120","author":[{"family":"Beller","given":"Zachary W."},{"family":"Wesener","given":"Darryl A."},{"family":"Seebeck","given":"Timothy R."},{"family":"Guruge","given":"Janaki L."},{"family":"Byrne","given":"Alexandra E."},{"family":"Henrissat","given":"Suzanne"},{"family":"Terrapon","given":"Nicolas"},{"family":"Henrissat","given":"Bernard"},{"family":"Rodionov","given":"Dmitry A."},{"family":"Osterman","given":"Andrei L."},{"family":"Suarez","given":"Chris"},{"family":"Bacalzo","given":"Nikita P."},{"family":"Chen","given":"Ye"},{"family":"Couture","given":"Garret"},{"family":"Lebrilla","given":"Carlito B."},{"family":"Zhang","given":"Zhigang"},{"family":"Eastlund","given":"Erik R."},{"family":"McCann","given":"Caitlin H."},{"family":"Davis","given":"Gregory D."},{"family":"Gordon","given":"Jeffrey I."}],"issued":{"date-parts":[["2023",9,26]]}}},{"id":2965,"uris":["http://zotero.org/users/local/6BakpO76/items/MP7I2WJW"],"itemData":{"id":2965,"type":"article-journal","abstract":"Bacterial growth often alters the environment, which in turn can impact interspecies interactions among bacteria. Here, we used an in vitro batch system containing mucin beads to emulate the dynamic host environment and to study its impact on the interactions between two abundant and prevalent human gut bacteria, the primary fermenter Bacteroides thetaiotaomicron and the butyrate producer Roseburia intestinalis. By combining machine learning and flow cytometry, we found that the number of viable B. thetaiotaomicron cells decreases with glucose consumption due to acid production, while R. intestinalis survives post-glucose depletion by entering a slow growth mode. Both species attach to mucin beads, but only viable cell counts of B. thetaiotaomicron increase significantly. The number of viable co-culture cells varies significantly over time compared to those of monocultures. A combination of targeted metabolomics and RNA-seq showed that the slow growth mode of R. intestinalis represents a diauxic shift towards acetate and lactate consumption, whereas B. thetaiotaomicron survives glucose depletion and low pH by foraging on mucin sugars. In addition, most of the mucin monosaccharides we tested inhibited the growth of R. intestinalis but not B. thetaiotaomicron. We encoded these causal relationships in a kinetic model, which reproduced the observed dynamics. In summary, we explored how R. intestinalis and B. thetaiotaomicron respond to nutrient scarcity and how this affects their dynamics. We highlight the importance of understanding bacterial metabolic strategies to effectively modulate microbial dynamics in changing conditions.","container-title":"The ISME journal","DOI":"10.1038/s41396-023-01501-1","ISSN":"1751-7370","issue":"11","journalAbbreviation":"ISME J","language":"eng","note":"PMID: 37670028\nPMCID: PMC10579405","page":"1940-1952","source":"PubMed","title":"Starvation responses impact interaction dynamics of human gut bacteria Bacteroides thetaiotaomicron and Roseburia intestinalis","volume":"17","author":[{"family":"Liu","given":"Bin"},{"family":"Garza","given":"Daniel Rios"},{"family":"Gonze","given":"Didier"},{"family":"Krzynowek","given":"Anna"},{"family":"Simoens","given":"Kenneth"},{"family":"Bernaerts","given":"Kristel"},{"family":"Geirnaert","given":"Annelies"},{"family":"Faust","given":"Karoline"}],"issued":{"date-parts":[["2023",11]]}}},{"id":2962,"uris":["http://zotero.org/users/local/6BakpO76/items/NC3KW9G9"],"itemData":{"id":2962,"type":"article-journal","abstract":"The enteric pathogen enterohemorrhagic Escherichia coli (EHEC) causes severe diarrhea, but the influence of the gut microbiota on EHEC infection is largely unknown. A predominant member of the microbiota, Bacteroides thetaiotaomicron (Bt), is resident at EHEC attachment sites. We show that Bt enhances EHEC virulence gene expression through the transcription factor Cra, which is functionally sensitive to sugar concentrations. This enhanced virulence accompanies increased formation of attaching and effacing (AE) lesions requisite for EHEC colonization. Infection with Citrobacter rodentium, a natural mouse pathogen homologous to EHEC, in Bt-reconstituted mice results in increased gut permeability along with exacerbated host pathology and mortality compared to mice deplete of microflora. Bt modifies the metabolite environment at infection sites, increasing metabolites involved in gluconeogenesis, with stark increases in succinate, which can be sensed by Cra. Our findings suggest that microbiota composition affects disease outcome and may explain links between microbiota composition and disease susceptibility.","container-title":"Cell Host &amp; Microbe","DOI":"10.1016/j.chom.2014.11.005","ISSN":"1934-6069","issue":"6","journalAbbreviation":"Cell Host Microbe","language":"eng","note":"PMID: 25498343\nPMCID: PMC4269104","page":"759-769","source":"PubMed","title":"The gut commensal Bacteroides thetaiotaomicron exacerbates enteric infection through modification of the metabolic landscape","volume":"16","author":[{"family":"Curtis","given":"Meredith M."},{"family":"Hu","given":"Zeping"},{"family":"Klimko","given":"Claire"},{"family":"Narayanan","given":"Sanjeev"},{"family":"Deberardinis","given":"Ralph"},{"family":"Sperandio","given":"Vanessa"}],"issued":{"date-parts":[["2014",12,10]]}}},{"id":2956,"uris":["http://zotero.org/users/local/6BakpO76/items/3DPC7HCY"],"itemData":{"id":2956,"type":"article-journal","abstract":"Humans and other mammals are colonized by a vast, complex, and dynamic consortium of microorganisms. One evolutionary driving force for maintaining this metabolically active microbial society is to salvage energy from nutrients, particularly carbohydrates, that are otherwise nondigestible by the host. Much of our understanding of the molecular mechanisms by which members of the intestinal microbiota degrade complex polysaccharides comes from studies of Bacteroides thetaiotaomicron, a prominent and genetically manipulatable component of the normal human and mouse gut. Colonization of germ-free mice with B. thetaiotaomicron has shown how this anaerobe modifies many aspects of intestinal cellular differentiation/gene expression to benefit both host and microbe. These and other studies underscore the importance of understanding precisely how nutrient metabolism serves to establish and sustain symbiotic relationships between mammals and their bacterial partners.","container-title":"Annual Review of Nutrition","DOI":"10.1146/annurev.nutr.22.011602.092259","ISSN":"0199-9885","journalAbbreviation":"Annu Rev Nutr","language":"eng","note":"PMID: 12055347","page":"283-307","source":"PubMed","title":"How host-microbial interactions shape the nutrient environment of the mammalian intestine","volume":"22","author":[{"family":"Hooper","given":"Lora V."},{"family":"Midtvedt","given":"Tore"},{"family":"Gordon","given":"Jeffrey I."}],"issued":{"date-parts":[["2002"]]}}},{"id":2954,"uris":["http://zotero.org/users/local/6BakpO76/items/FKE5VHGU"],"itemData":{"id":2954,"type":"article-journal","abstract":"Gut microbes have critical roles in maintaining host physiology, but their effects on epithelial chemosensory enteroendocrine cells (EEC) remain unclear. We investigated the role that the ubiquitous commensal gut bacterium Bacteriodes thetaiotaomicron (Bt) and its major fermentation products, acetate, propionate, and succinate (APS) have in shaping EEC networks in the murine gastrointestinal tract (GIT). The distribution and numbers of EEC populations were assessed in tissues along the GIT by fluorescent immunohistochemistry in specific pathogen free (SPF), germfree (GF) mice, GF mice conventionalized by Bt or Lactobacillus reuteri (Lr), and GF mice administered APS. In parallel, we also assessed the suitability of using intestinal crypt-derived epithelial monolayer cultures for these studies. GF mice up-regulated their EEC network, in terms of a general EEC marker chromogranin A (ChrA) expression, numbers of serotonin-producing enterochromaffin cells, and both hormone-producing K- and L-cells, with a corresponding increase in serum glucagon-like peptide-1 (GLP-1) levels. Bt conventionalization restored EEC numbers to levels in SPF mice with regional specificity; the effects on ChrA and L-cells were mainly in the small intestine, the effects on K-cells and EC cells were most apparent in the colon. By contrast, Lr did not restore EEC networks in conventionalized GF mice. Analysis of secretory epithelial cell monolayer cultures from whole small intestine showed that intestinal monolayers are variable and with the possible exclusion of GIP expressing cells, did not accurately reflect the EEC cell makeup seen in vivo. Regarding the mechanism of action of Bt on EECs, colonization of GF mice with Bt led to the production and accumulation of acetate, propionate and succinate (APS) in the caecum and colon, which when administered at physiological concentrations to GF mice via their drinking water for 10 days mimicked to a large extent the effects of Bt in GF mice. After withdrawal of APS, the changes in some EEC were maintained and, in some cases, were greater than during APS treatment. This data provides evidence of microbiota influences on regulating EEC networks in different regions of the GIT, with a single microbe, Bt, recapitulating its role in a process that may be dependent upon its fermentation products.","container-title":"Frontiers in Microbiology","DOI":"10.3389/fmicb.2020.575595","ISSN":"1664-302X","journalAbbreviation":"Front Microbiol","language":"eng","note":"PMID: 33240233\nPMCID: PMC7677362","page":"575595","source":"PubMed","title":"Regulation of Enteroendocrine Cell Networks by the Major Human Gut Symbiont Bacteroides thetaiotaomicron","volume":"11","author":[{"family":"Modasia","given":"Amisha"},{"family":"Parker","given":"Aimee"},{"family":"Jones","given":"Emily"},{"family":"Stentz","given":"Regis"},{"family":"Brion","given":"Arlaine"},{"family":"Goldson","given":"Andrew"},{"family":"Defernez","given":"Marianne"},{"family":"Wileman","given":"Tom"},{"family":"Ashley Blackshaw","given":"L."},{"family":"Carding","given":"Simon R."}],"issued":{"date-parts":[["2020"]]}}}],"schema":"https://github.com/citation-style-language/schema/raw/master/csl-citation.json"} </w:instrText>
            </w:r>
            <w:r w:rsidR="00D4535B" w:rsidRPr="00C42BF6">
              <w:rPr>
                <w:rFonts w:ascii="Arial" w:eastAsia="Arial" w:hAnsi="Arial" w:cs="Arial"/>
                <w:i/>
                <w:iCs/>
                <w:color w:val="000000"/>
              </w:rPr>
              <w:fldChar w:fldCharType="separate"/>
            </w:r>
            <w:r w:rsidR="00F80CF1" w:rsidRPr="00F80CF1">
              <w:rPr>
                <w:rFonts w:ascii="Arial" w:hAnsi="Arial" w:cs="Arial"/>
                <w:color w:val="000000"/>
                <w:vertAlign w:val="superscript"/>
              </w:rPr>
              <w:t>30,30–35</w:t>
            </w:r>
            <w:r w:rsidR="00D4535B"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Faecalibacterium</w:t>
            </w:r>
            <w:proofErr w:type="spellEnd"/>
            <w:r w:rsidRPr="00C42BF6">
              <w:rPr>
                <w:rFonts w:ascii="Arial" w:eastAsia="Arial" w:hAnsi="Arial" w:cs="Arial"/>
                <w:i/>
                <w:iCs/>
                <w:color w:val="000000"/>
              </w:rPr>
              <w:t xml:space="preserve"> prausnitzii</w:t>
            </w:r>
            <w:r w:rsidR="00D4535B"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{"citationID":"YfYqW3wB","properties":{"formattedCitation":"\\super 30,79\\uc0\\u8211{}82\\nosupersub{}","plainCitation":"30,79–82","noteIndex":0},"citationItems":[{"id":2959,"uris":["http://zotero.org/users/local/6BakpO76/items/R2XSMMDA"],"itemData":{"id":2959,"type":"article-journal","abstract":"BACKGROUND: The intestinal mucus layer plays a key role in the maintenance of host-microbiota homeostasis. To document the crosstalk between the host and microbiota, we used gnotobiotic models to study the influence of two major commensal bacteria, Bacteroides thetaiotaomicron and Faecalibacterium prausnitzii, on this intestinal mucus layer. B. thetaiotaomicron is known to use polysaccharides from mucus, but its effect on goblet cells has not been addressed so far. F. prausnitzii is of particular physiological importance because it can be considered as a sensor and a marker of human health. We determined whether B. thetaiotaomicron affected goblet cell differentiation, mucin synthesis and glycosylation in the colonic epithelium. We then investigated how F. prausnitzii influenced the colonic epithelial responses to B. thetaiotaomicron.\nRESULTS: B. thetaiotaomicron, an acetate producer, increased goblet cell differentiation, expression of mucus-related genes and the ratio of sialylated to sulfated mucins in mono-associated rats. B. thetaiotaomicron, therefore, stimulates the secretory lineage, favoring mucus production. When B. thetaiotaomicron was associated with F. prausnitzii, an acetate consumer and a butyrate producer, the effects on goblet cells and mucin glycosylation were diminished. F. prausnitzii, by attenuating the effects of B. thetaiotaomicron on mucus, may help the epithelium to maintain appropriate proportions of different cell types of the secretory lineage. Using a mucus-producing cell line, we showed that acetate up-regulated KLF4, a transcription factor involved in goblet cell differentiation.\nCONCLUSIONS: B. thetaiotaomicron and F. prausnitzii, which are metabolically complementary, modulate, in vivo, the intestinal mucus barrier by modifying goblet cells and mucin glycosylation. Our study reveals the importance of the balance between two main commensal bacteria in maintaining colonic epithelial homeostasis via their respective effects on mucus.","container-title":"BMC biology","DOI":"10.1186/1741-7007-11-61","ISSN":"1741-7007","journalAbbreviation":"BMC Biol","language":"eng","note":"PMID: 23692866\nPMCID: PMC3673873","page":"61","source":"PubMed","title":"Bacteroides thetaiotaomicron and Faecalibacterium prausnitzii influence the production of mucus glycans and the development of goblet cells in the colonic epithelium of a gnotobiotic model rodent","volume":"11","author":[{"family":"Wrzosek","given":"Laura"},{"family":"Miquel","given":"Sylvie"},{"family":"Noordine","given":"Marie-Louise"},{"family":"Bouet","given":"Stephan"},{"family":"Joncquel Chevalier-Curt","given":"Marie"},{"family":"Robert","given":"Véronique"},{"family":"Philippe","given":"Catherine"},{"family":"Bridonneau","given":"Chantal"},{"family":"Cherbuy","given":"Claire"},{"family":"Robbe-Masselot","given":"Catherine"},{"family":"Langella","given":"Philippe"},{"family":"Thomas","given":"Muriel"}],"issued":{"date-parts":[["2013",5,21]]}}},{"id":2981,"uris":["http://zotero.org/users/local/6BakpO76/items/TNHTUPNR"],"itemData":{"id":2981,"type":"article-journal","abstract":"BACKGROUND: The human gut contains approximately 1014 bacteria, belonging to hundreds of different species. Together, these microbial species form a complex food web that can break down nutrient sources that our own digestive enzymes cannot handle, including complex polysaccharides, producing short chain fatty acids and additional metabolites, e.g., vitamin K. Microbial diversity is important for colonic health: Changes in the composition of the microbiota have been associated with inflammatory bowel disease, diabetes, obesity and Crohn's disease, and make the microbiota more vulnerable to infestation by harmful species, e.g., Clostridium difficile. To get a grip on the controlling factors of microbial diversity in the gut, we here propose a multi-scale, spatiotemporal dynamic flux-balance analysis model to study the emergence of metabolic diversity in a spatial gut-like, tubular environment. The model features genome-scale metabolic models (GEM) of microbial populations, resource sharing via extracellular metabolites, and spatial population dynamics and evolution.\nRESULTS: In this model, cross-feeding interactions emerge readily, despite the species' ability to metabolize sugars autonomously. Interestingly, the community requires cross-feeding for producing a realistic set of short-chain fatty acids from an input of glucose, If we let the composition of the microbial subpopulations change during invasion of adjacent space, a complex and stratified microbiota evolves, with subspecies specializing on cross-feeding interactions via a mechanism of compensated trait loss. The microbial diversity and stratification collapse if the flux through the gut is enhanced to mimic diarrhea.\nCONCLUSIONS: In conclusion, this in silico model is a helpful tool in systems biology to predict and explain the controlling factors of microbial diversity in the gut. It can be extended to include, e.g., complex nutrient sources, and host-microbiota interactions via the intestinal wall.","container-title":"BMC systems biology","DOI":"10.1186/s12918-017-0430-4","ISSN":"1752-0509","issue":"1","journalAbbreviation":"BMC Syst Biol","language":"eng","note":"PMID: 28511646\nPMCID: PMC5434578","page":"56","source":"PubMed","title":"Emergence of microbial diversity due to cross-feeding interactions in a spatial model of gut microbial metabolism","volume":"11","author":[{"family":"Hoek","given":"Milan J. A.","dropping-particle":"van"},{"family":"Merks","given":"Roeland M. H."}],"issued":{"date-parts":[["2017",5,16]]}}},{"id":88,"uris":["http://zotero.org/users/local/6BakpO76/items/BH4WSRWE"],"itemData":{"id":88,"type":"article-journal","abstract":"The microbiota, and the genes that comprise its microbiome, play key roles in human health. Host-microbe interactions affect immunity, metabolism, development, and behavior, and dysbiosis of gut bacteria contributes to disease. Despite advances in correlating changes in the microbiota with various conditions, specific mechanisms of host-microbiota signaling remain largely elusive. We discuss the synthesis of microbial metabolites, their absorption, and potential physiological effects on the host. We propose that the effects of specialized metabolites may explain present knowledge gaps in linking the gut microbiota to biological host mechanisms during initial colonization, and in health and disease.","container-title":"Cell Metabolism","DOI":"10.1016/j.cmet.2014.10.016","ISSN":"1932-7420","issue":"5","journalAbbreviation":"Cell Metab.","language":"eng","note":"PMID: 25440054\nPMCID: PMC4337795","page":"719-730","source":"PubMed","title":"Specialized metabolites from the microbiome in health and disease","volume":"20","author":[{"family":"Sharon","given":"Gil"},{"family":"Garg","given":"Neha"},{"family":"Debelius","given":"Justine"},{"family":"Knight","given":"Rob"},{"family":"Dorrestein","given":"Pieter C."},{"family":"Mazmanian","given":"Sarkis K."}],"issued":{"date-parts":[["2014",11,4]]}}},{"id":2975,"uris":["http://zotero.org/users/local/6BakpO76/items/AGNWNBC8"],"itemData":{"id":2975,"type":"article-journal","abstract":"BACKGROUND: Rheumatoid arthritis (RA) is a systemic chronic inflammatory disease that leads to joint destruction and functional disability due to the targeting of self-antigens present in the synovium, cartilage, and bone. RA is caused by a number of complex factors, including genetics, environment, dietary habits, and altered intestinal microbial flora. Microorganisms in the gut bind to nod-like receptors and Toll-like receptors to regulate the immune system and produce various metabolites, such as short-chain fatty acids (SCFAs) that interact directly with the host. Faecalibacterium prausnitzii is a representative bacterium that produces butyrate, a well-known immunomodulatory agent in the body, and this microbe exerts anti-inflammatory effects in autoimmune diseases.\nMETHODS: In this study, F. prausnitzii was administered in a mouse model of RA, to investigate RA pathology and changes in the intestinal microbial flora. Using collagen-induced arthritic mice, which is a representative animal model of RA, we administered F. prausnitzii orally for 7 weeks.\nRESULTS: The arthritis score and joint tissue damage were decreased in the mice administered F. prausnitzii compared with the vehicle-treated group. In addition, administration of F. prausnitzii reduced the abundance of systemic immune cells that secrete the pro-inflammatory cytokine IL-17 and induced changes in SCFA concentrations and the intestinal microbial flora composition. It also resulted in decreased lactate and acetate concentrations, an increased butyrate concentration, and altered compositions of bacteria known to exacerbate or improve RA.\nCONCLUSION: These results suggest that F. prausnitzii exerts a therapeutic effect on RA by regulation of IL-17 producing cells. In addition, F. prausnitzii modify the microbial flora composition and short chain fatty acids in experimental RA mouse model.","container-title":"Arthritis Research &amp; Therapy","DOI":"10.1186/s13075-023-03118-3","ISSN":"1478-6362","issue":"1","journalAbbreviation":"Arthritis Res Ther","language":"eng","note":"PMID: 37496081\nPMCID: PMC10373287","page":"130","source":"PubMed","title":"Faecalibacterium prausnitzii alleviates inflammatory arthritis and regulates IL-17 production, short chain fatty acids, and the intestinal microbial flora in experimental mouse model for rheumatoid arthritis","volume":"25","author":[{"family":"Moon","given":"Jeonghyeon"},{"family":"Lee","given":"A. Ram"},{"family":"Kim","given":"Heejung"},{"family":"Jhun","given":"JooYeon"},{"family":"Lee","given":"Seon-Yeong"},{"family":"Choi","given":"Jeong Won"},{"family":"Jeong","given":"Yunju"},{"family":"Park","given":"Myeong Soo"},{"family":"Ji","given":"Geun Eog"},{"family":"Cho","given":"Mi-La"},{"family":"Park","given":"Sung-Hwan"}],"issued":{"date-parts":[["2023",7,26]]}}},{"id":2973,"uris":["http://zotero.org/users/local/6BakpO76/items/YLYWBG3Q"],"itemData":{"id":2973,"type":"article-journal","abstract":"Faecalibacterium prausnitzii, anaerobic bacteria, is one of the main components of gut microbiota and the most important butyrate-producing bacteria in the human colon. So far, this commensal bacterium has been considered as a bioindicator of human health, once when its population is altered (decreased), inflammatory processes are favored. Several reports in the literature highlighted that the amount of Faecalibacterium prausnitzii negatively correlates to the activity of inflammatory bowel disease and colorectal cancer. Therefore, counterbalancing dysbiosis using Faecalibacterium prausnitzii as a potential active component of probiotic formulations appears to be a promising therapeutic strategy for inflammatory bowel diseases and colorectal cancer. However, once this microbial is very sensitive to oxygen, the formulation development is a great challenge. In this review, we will focus our attention on Faecalibacterium prausnitzii biology, anti-inflammatory metabolites, modulators of this bacterium population and its impact on human health.","container-title":"Best Practice &amp; Research. Clinical Gastroenterology","DOI":"10.1016/j.bpg.2017.09.011","ISSN":"1532-1916","issue":"6","journalAbbreviation":"Best Pract Res Clin Gastroenterol","language":"eng","note":"PMID: 29566907","page":"643-648","source":"PubMed","title":"Action and function of Faecalibacterium prausnitzii in health and disease","volume":"31","author":[{"family":"Ferreira-Halder","given":"Carmen Veríssima"},{"family":"Faria","given":"Alessandra Valéria de Sousa"},{"family":"Andrade","given":"Sheila Siqueira"}],"issued":{"date-parts":[["2017",12]]}}}],"schema":"https://github.com/citation-style-language/schema/raw/master/csl-citation.json"} </w:instrText>
            </w:r>
            <w:r w:rsidR="00D4535B" w:rsidRPr="00C42BF6">
              <w:rPr>
                <w:rFonts w:ascii="Arial" w:eastAsia="Arial" w:hAnsi="Arial" w:cs="Arial"/>
                <w:i/>
                <w:iCs/>
                <w:color w:val="000000"/>
              </w:rPr>
              <w:fldChar w:fldCharType="separate"/>
            </w:r>
            <w:r w:rsidR="00F80CF1" w:rsidRPr="00F80CF1">
              <w:rPr>
                <w:rFonts w:ascii="Arial" w:hAnsi="Arial" w:cs="Arial"/>
                <w:color w:val="000000"/>
                <w:vertAlign w:val="superscript"/>
              </w:rPr>
              <w:t>30,79–82</w:t>
            </w:r>
            <w:r w:rsidR="00D4535B"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Roseburia</w:t>
            </w:r>
            <w:proofErr w:type="spellEnd"/>
            <w:r w:rsidRPr="00C42BF6">
              <w:rPr>
                <w:rFonts w:ascii="Arial" w:eastAsia="Arial" w:hAnsi="Arial" w:cs="Arial"/>
                <w:i/>
                <w:iCs/>
                <w:color w:val="000000"/>
              </w:rPr>
              <w:t xml:space="preserve"> intestinalis</w:t>
            </w:r>
            <w:r w:rsidR="009F1305"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{"citationID":"YVwafcIH","properties":{"formattedCitation":"\\super 32,39,40\\nosupersub{}","plainCitation":"32,39,40","noteIndex":0},"citationItems":[{"id":2965,"uris":["http://zotero.org/users/local/6BakpO76/items/MP7I2WJW"],"itemData":{"id":2965,"type":"article-journal","abstract":"Bacterial growth often alters the environment, which in turn can impact interspecies interactions among bacteria. Here, we used an in vitro batch system containing mucin beads to emulate the dynamic host environment and to study its impact on the interactions between two abundant and prevalent human gut bacteria, the primary fermenter Bacteroides thetaiotaomicron and the butyrate producer Roseburia intestinalis. By combining machine learning and flow cytometry, we found that the number of viable B. thetaiotaomicron cells decreases with glucose consumption due to acid production, while R. intestinalis survives post-glucose depletion by entering a slow growth mode. Both species attach to mucin beads, but only viable cell counts of B. thetaiotaomicron increase significantly. The number of viable co-culture cells varies significantly over time compared to those of monocultures. A combination of targeted metabolomics and RNA-seq showed that the slow growth mode of R. intestinalis represents a diauxic shift towards acetate and lactate consumption, whereas B. thetaiotaomicron survives glucose depletion and low pH by foraging on mucin sugars. In addition, most of the mucin monosaccharides we tested inhibited the growth of R. intestinalis but not B. thetaiotaomicron. We encoded these causal relationships in a kinetic model, which reproduced the observed dynamics. In summary, we explored how R. intestinalis and B. thetaiotaomicron respond to nutrient scarcity and how this affects their dynamics. We highlight the importance of understanding bacterial metabolic strategies to effectively modulate microbial dynamics in changing conditions.","container-title":"The ISME journal","DOI":"10.1038/s41396-023-01501-1","ISSN":"1751-7370","issue":"11","journalAbbreviation":"ISME J","language":"eng","note":"PMID: 37670028\nPMCID: PMC10579405","page":"1940-1952","source":"PubMed","title":"Starvation responses impact interaction dynamics of human gut bacteria Bacteroides thetaiotaomicron and Roseburia intestinalis","volume":"17","author":[{"family":"Liu","given":"Bin"},{"family":"Garza","given":"Daniel Rios"},{"family":"Gonze","given":"Didier"},{"family":"Krzynowek","given":"Anna"},{"family":"Simoens","given":"Kenneth"},{"family":"Bernaerts","given":"Kristel"},{"family":"Geirnaert","given":"Annelies"},{"family":"Faust","given":"Karoline"}],"issued":{"date-parts":[["2023",11]]}}},{"id":2987,"uris":["http://zotero.org/users/local/6BakpO76/items/GMH8I7B9"],"itemData":{"id":2987,"type":"article-journal","abstract":"In vitro simulated digestion and fecal fermentation were performed to investigate the influence of mixed grains on gut microbes. In addition, the key metabolic pathways and enzymes associated with short-chain fatty acids (SCFAs) were explored. The mixed grains exhibited an observable regulatory effect on the composition and metabolism of intestinal microorganisms, especially in probiotics, such as Bifidobacterium spp., Lactobacillus spp., and Faecalibacterium spp. WR (wheat + rye), WB (wheat + highland barley) and WO (wheat + oats) tended to generate lactate and acetate, which are related to Sutterella, Staphylococcus, etc. WQ (wheat + quinoa) induced high propionate and butyrate accumulation by consuming lactate and acetate, mainly through Roseburia inulinivorans, Coprococcus catus and Anaerostipes sp., etc. Moreover, bacteria enriched in different mixed grain groups regulated the expression of pivotal enzymes in metabolic pathways and then affected the generation of SCFAs. These results provide new knowledge on the characteristics of intestinal microbial metabolism in different mixed grain substrates.","container-title":"Food Research International (Ottawa, Ont.)","DOI":"10.1016/j.foodres.2023.112949","ISSN":"1873-7145","journalAbbreviation":"Food Res Int","language":"eng","note":"PMID: 37316043","page":"112949","source":"PubMed","title":"In vitro simulated fecal fermentation of mixed grains on short-chain fatty acid generation and its metabolized mechanism","volume":"170","author":[{"family":"Xu","given":"Lei"},{"family":"Yu","given":"Qiaoru"},{"family":"Ma","given":"Lixue"},{"family":"Su","given":"Tingting"},{"family":"Zhang","given":"Dongjie"},{"family":"Yao","given":"Di"},{"family":"Li","given":"Zhijiang"}],"issued":{"date-parts":[["2023",8]]}}},{"id":2984,"uris":["http://zotero.org/users/local/6BakpO76/items/VZIJYN2V"],"itemData":{"id":2984,"type":"article-journal","abstract":"The human intestinal commensal microbiota and associated metabolic products have long been regarded as contributors to host health. As the identity and activities of the various members of this community have become clearer, newly identified health-associated bacteria, such as Faecalibacterium prausnitzii, Akkermansia muciniphila, Ruminococcus bromii and Roseburia species, have emerged. Notably, the abundance of many of these bacteria is inversely correlated to several disease states. While technological and regulatory hurdles may limit the use of strains from these taxa as probiotics, it should be possible to utilize prebiotics and other dietary components to selectively enhance their growth in situ. Dietary components of potential relevance include well-established prebiotics, such as galacto-oligosaccharides, fructo-oligosaccharides and inulin, while other putative prebiotics, such as other oligosaccharides, polyphenols, resistant starch, algae and seaweed as well as host gut metabolites such as lactate and acetate, may also be applied with the aim of selectively and/or differentially affecting the beneficial bacterial community within the gastrointestinal environment. The present review provides an overview of the dietary components that could be applied in this manner.","container-title":"Gut Microbes","DOI":"10.1080/19490976.2019.1613124","ISSN":"1949-0984","issue":"1","journalAbbreviation":"Gut Microbes","language":"eng","note":"PMID: 31116628\nPMCID: PMC6973326","page":"1-20","source":"PubMed","title":"Potential for enriching next-generation health-promoting gut bacteria through prebiotics and other dietary components","volume":"11","author":[{"family":"Lordan","given":"Cathy"},{"family":"Thapa","given":"Dinesh"},{"family":"Ross","given":"R. Paul"},{"family":"Cotter","given":"Paul D."}],"issued":{"date-parts":[["2020"]]}}}],"schema":"https://github.com/citation-style-language/schema/raw/master/csl-citation.json"} </w:instrText>
            </w:r>
            <w:r w:rsidR="009F1305" w:rsidRPr="00C42BF6">
              <w:rPr>
                <w:rFonts w:ascii="Arial" w:eastAsia="Arial" w:hAnsi="Arial" w:cs="Arial"/>
                <w:i/>
                <w:iCs/>
                <w:color w:val="000000"/>
              </w:rPr>
              <w:fldChar w:fldCharType="separate"/>
            </w:r>
            <w:r w:rsidR="00F80CF1" w:rsidRPr="00F80CF1">
              <w:rPr>
                <w:rFonts w:ascii="Arial" w:hAnsi="Arial" w:cs="Arial"/>
                <w:color w:val="000000"/>
                <w:vertAlign w:val="superscript"/>
              </w:rPr>
              <w:t>32,39,40</w:t>
            </w:r>
            <w:r w:rsidR="009F1305" w:rsidRPr="00C42BF6">
              <w:rPr>
                <w:rFonts w:ascii="Arial" w:eastAsia="Arial" w:hAnsi="Arial" w:cs="Arial"/>
                <w:i/>
                <w:iCs/>
                <w:color w:val="000000"/>
              </w:rPr>
              <w:fldChar w:fldCharType="end"/>
            </w:r>
            <w:r w:rsidRPr="00C42BF6">
              <w:rPr>
                <w:rFonts w:ascii="Arial" w:eastAsia="Arial" w:hAnsi="Arial" w:cs="Arial"/>
                <w:i/>
                <w:iCs/>
                <w:color w:val="000000"/>
              </w:rPr>
              <w:t xml:space="preserve"> | Eubacterium hallii</w:t>
            </w:r>
            <w:r w:rsidR="00070248"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{"citationID":"pHOBci8r","properties":{"formattedCitation":"\\super 43\\uc0\\u8211{}45\\nosupersub{}","plainCitation":"43–45","noteIndex":0},"citationItems":[{"id":2994,"uris":["http://zotero.org/users/local/6BakpO76/items/23QY9GGS"],"itemData":{"id":2994,"type":"article-journal","abstract":"Eubacterium hallii is considered an important microbe in regard to intestinal metabolic balance due to its ability to utilize glucose and the fermentation intermediates acetate and lactate, to form butyrate and hydrogen. Recently, we observed that E. hallii is capable of metabolizing glycerol to 3-hydroxypropionaldehyde (3-HPA, reuterin) with reported antimicrobial properties. The key enzyme for glycerol to 3-HPA conversion is the cobalamin-dependent glycerol/diol dehydratase PduCDE which also utilizes 1,2-propanediol (1,2-PD) to form propionate. Therefore our primary goal was to investigate glycerol to 3-HPA metabolism and 1,2-PD utilization by E. hallii along with its ability to produce cobalamin. We also investigated the relative abundance of E. hallii in stool of adults using 16S rRNA and pduCDE based gene screening to determine the contribution of E. hallii to intestinal propionate formation. We found that E. hallii utilizes glycerol to produce up to 9 mM 3-HPA but did not further metabolize 3-HPA to 1,3-propanediol. Utilization of 1,2-PD in the presence and absence of glucose led to the formation of propanal, propanol and propionate. E. hallii formed cobalamin and was detected in stool of 74% of adults using 16S rRNA gene as marker gene (n = 325). Relative abundance of the E. hallii 16S rRNA gene ranged from 0 to 0.59% with a mean relative abundance of 0.044%. E. hallii PduCDE was detected in 63 to 81% of the metagenomes depending on which subunit was investigated beside other taxons such as Ruminococcus obeum, R. gnavus, Flavonifractor plautii, Intestinimonas butyriciproducens, and Veillonella spp. In conclusion, we identified E. hallii as a common gut microbe with the ability to convert glycerol to 3-HPA, a step that requires the production of cobalamin, and to utilize 1,2-PD to form propionate. Our results along with its ability to use a broad range of substrates point at E. hallii as a key species within the intestinal trophic chain with the potential to highly impact the metabolic balance as well as the gut microbiota/host homeostasis by the formation of different short chain fatty acids.","container-title":"Frontiers in Microbiology","DOI":"10.3389/fmicb.2016.00713","ISSN":"1664-302X","journalAbbreviation":"Front Microbiol","language":"eng","note":"PMID: 27242734\nPMCID: PMC4871866","page":"713","source":"PubMed","title":"The Common Gut Microbe Eubacterium hallii also Contributes to Intestinal Propionate Formation","volume":"7","author":[{"family":"Engels","given":"Christina"},{"family":"Ruscheweyh","given":"Hans-Joachim"},{"family":"Beerenwinkel","given":"Niko"},{"family":"Lacroix","given":"Christophe"},{"family":"Schwab","given":"Clarissa"}],"issued":{"date-parts":[["2016"]]}}},{"id":2991,"uris":["http://zotero.org/users/local/6BakpO76/items/CF3YB6A8"],"itemData":{"id":2991,"type":"article-journal","abstract":"Background: Gut microbial composition seems to change in association with prediabetes. The purpose of this prospective cross-sectional study was to compare the composition of gut microbiota and energy metabolites between individuals with class III obesity but without type 2 diabetes mellitus (OB) and healthy normal weight controls. Methods: The subjects of this prospective cross-sectional study were participants recruited from a previous clinical trial (No: NCT02325804), with intervention focused on weight loss. We recruited 19 OB [mean age ± standard deviation (SD) was 35.4 ± 7.0 years, mean body mass index (BMI) ± SD was 48.8 ± 6.7 kg/m2] and 23 controls (mean age ± SD was 31.7 ± 14.8 years, mean BMI ± SD was 22.2 ± 1.7 kg/m2). Their fecal microbiota was categorized using specific primers targeting the V1-V3 region of 16S rDNA, whereas serum metabolites were characterized by nuclear magnetic resonance spectroscopy. Multivariate statistical analysis and Random Forest models were applied to discriminate predictors with the highest variable importance. Results: We observed a significantly lower microbial α-diversity (P = 0.001) and relative abundance of beneficial bacterium Akkermansia (P = 0.001) and the short-chain fatty acid-producing bacteria Eubacterium hallii (P = 0.019), Butyrivibrio (P = 0.024), Marvinbryantia (P = 0.010), and Coprococcus (P = 0.050) and a higher abundance of the pathogenic bacteria Bilophila (P = 0.018) and Fusobacterium (P = 0.022) in OB compared with controls. Notably, the Random Forest machine learning analysis identified energy metabolites (citrate and acetate), HOMA-IR, and insulin as important predictors capable of discriminating between OB and controls. Conclusions: Our results suggest that changes in gut microbiota and in serum acetate and citrate are additional promising biomarkers before progression to Type 2 diabetes. The non-invasive manipulation of gut microbiota composition in OB through a healthy lifestyle, thus, offers a new approach for managing class III obesity and associated disorders. ClinicalTrials.gov identifier: NCT02325804.","container-title":"Metabolic Syndrome and Related Disorders","DOI":"10.1089/met.2022.0071","ISSN":"1557-8518","issue":"5","journalAbbreviation":"Metab Syndr Relat Disord","language":"eng","note":"PMID: 37083403","page":"243-253","source":"PubMed","title":"Gut Microbiota and Serum Metabolites in Individuals with Class III Obesity Without Type 2 Diabetes Mellitus: Pilot Analysis","title-short":"Gut Microbiota and Serum Metabolites in Individuals with Class III Obesity Without Type 2 Diabetes Mellitus","volume":"21","author":[{"family":"Kubáňová","given":"Libuša"},{"family":"Bielik","given":"Viktor"},{"family":"Hric","given":"Ivan"},{"family":"Ugrayová","given":"Simona"},{"family":"Šoltys","given":"Katarína"},{"family":"Rádiková","given":"Žofia"},{"family":"Baranovičová","given":"Eva"},{"family":"Grendár","given":"Marián"},{"family":"Kolisek","given":"Martin"},{"family":"Penesová","given":"Adela"}],"issued":{"date-parts":[["2023",6]]}}},{"id":2989,"uris":["http://zotero.org/users/local/6BakpO76/items/LE4LK6WF"],"itemData":{"id":2989,"type":"article-journal","abstract":"BACKGROUND: Comanagement of glycemia and adiposity is the cornerstone of cardiometabolic risk reduction in type 1 diabetes (T1D), but targets are often not met. The intestinal microbiota and microbiota-derived short-chain fatty acids (SCFAs) influence glycemia and adiposity but have not been sufficiently investigated in longstanding T1D.\nOBJECTIVES: We evaluated the hypothesis that an increased abundance of SCFA-producing gut microbes, fecal SCFAs, and intestinal microbial diversity were associated with improved glycemia but increased adiposity in young adults with longstanding T1D.\nMETHODS: Participants provided stool samples at ≤4 time points (NCT03651622: https://clinicaltrials.gov/ct2/show/NCT03651622). Sequencing of the 16S ribosomal RNA gene measured abundances of SCFA-producing intestinal microbes. GC-MS measured total and specific SCFAs (acetate, butyrate, propionate). DXA (body fat percentage and percentage lean mass) and anthropometrics (BMI) measured adiposity. Continuous glucose monitoring [percentage of time in range (70-180 mg/dL), above range (&gt;180 mg/dL), and below range (54-69 mg/dL)] and glycated hemoglobin (i.e., HbA1c) assessed glycemia. Adjusted and Bonferroni-corrected generalized estimating equations modeled the associations of SCFA-producing gut microbes, fecal SCFAs, and intestinal microbial diversity with glycemia and adiposity. COVID-19 interrupted data collection, so models were repeated restricted to pre-COVID-19 visits.\nRESULTS: Data were available for ≤45 participants at 101 visits (including 40 participants at 54 visits pre-COVID-19). Abundance of Eubacterium hallii was associated inversely with BMI (all data). Pre-COVID-19, increased fecal propionate was associated with increased percentage of time above range and reduced percentage of time in target and below range; and abundances of 3 SCFA-producing taxa (Ruminococcus gnavus, Eubacterium ventriosum, and Lachnospira) were associated inversely with body fat percentage, of which two microbes were positively associated with percentage lean mass. Abundance of Anaerostipes was associated with reduced percentage of time in range (all data) and with increased body fat percentage and reduced percentage lean mass (pre-COVID-19).\nCONCLUSIONS: Unexpectedly, fecal propionate was associated with detriment to glycemia, whereas most SCFA-producing intestinal microbes were associated with benefit to adiposity. Future studies should confirm these associations and determine their potential causal linkages in T1D.This study is registered at clinical.trials.gov (NCT03651622; https://clinicaltrials.gov/ct2/show/NCT03651622).","container-title":"Current Developments in Nutrition","DOI":"10.1093/cdn/nzac107","ISSN":"2475-2991","issue":"10","journalAbbreviation":"Curr Dev Nutr","language":"eng","note":"PMID: 36349343\nPMCID: PMC9620390","page":"nzac107","source":"PubMed","title":"The Intestinal Microbiota and Short-Chain Fatty Acids in Association with Advanced Metrics of Glycemia and Adiposity Among Young Adults with Type 1 Diabetes and Overweight or Obesity","volume":"6","author":[{"family":"Igudesman","given":"Daria"},{"family":"Crandell","given":"Jamie"},{"family":"Corbin","given":"Karen D."},{"family":"Muntis","given":"Franklin"},{"family":"Zaharieva","given":"Dessi P."},{"family":"Casu","given":"Anna"},{"family":"Thomas","given":"Joan M."},{"family":"Bulik","given":"Cynthia M."},{"family":"Carroll","given":"Ian M."},{"family":"Pence","given":"Brian W."},{"family":"Pratley","given":"Richard E."},{"family":"Kosorok","given":"Michael R."},{"family":"Maahs","given":"David M."},{"family":"Mayer-Davis","given":"Elizabeth J."}],"issued":{"date-parts":[["2022",11]]}}}],"schema":"https://github.com/citation-style-language/schema/raw/master/csl-citation.json"} </w:instrText>
            </w:r>
            <w:r w:rsidR="00070248" w:rsidRPr="00C42BF6">
              <w:rPr>
                <w:rFonts w:ascii="Arial" w:eastAsia="Arial" w:hAnsi="Arial" w:cs="Arial"/>
                <w:i/>
                <w:iCs/>
                <w:color w:val="000000"/>
              </w:rPr>
              <w:fldChar w:fldCharType="separate"/>
            </w:r>
            <w:r w:rsidR="00F80CF1" w:rsidRPr="00F80CF1">
              <w:rPr>
                <w:rFonts w:ascii="Arial" w:hAnsi="Arial" w:cs="Arial"/>
                <w:color w:val="000000"/>
                <w:vertAlign w:val="superscript"/>
              </w:rPr>
              <w:t>43–45</w:t>
            </w:r>
            <w:r w:rsidR="00070248" w:rsidRPr="00C42BF6">
              <w:rPr>
                <w:rFonts w:ascii="Arial" w:eastAsia="Arial" w:hAnsi="Arial" w:cs="Arial"/>
                <w:i/>
                <w:iCs/>
                <w:color w:val="000000"/>
              </w:rPr>
              <w:fldChar w:fldCharType="end"/>
            </w:r>
            <w:r w:rsidRPr="00C42BF6">
              <w:rPr>
                <w:rFonts w:ascii="Arial" w:eastAsia="Arial" w:hAnsi="Arial" w:cs="Arial"/>
                <w:i/>
                <w:iCs/>
                <w:color w:val="000000"/>
              </w:rPr>
              <w:t xml:space="preserve"> | Bifidobacterium adolescentis</w:t>
            </w:r>
            <w:r w:rsidR="006D1CF9"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{"citationID":"V0w6eiM2","properties":{"formattedCitation":"\\super 66,67\\nosupersub{}","plainCitation":"66,67","noteIndex":0},"citationItems":[{"id":2913,"uris":["http://zotero.org/users/local/6BakpO76/items/IX5JVPGA"],"itemData":{"id":2913,"type":"article-journal","abstract":"Bifidobacteria are a minor fraction of the human colon microbiota with interesting properties for carbohydrate degradation. Monosaccharides such as glucose and fructose are degraded through the bifid shunt, a dedicated pathway involving phosphoketolase activity. Its stoechiometry learns that three moles of acetate and two moles of lactate are produced per two moles of glucose or fructose that are degraded. However, deviations from this 3 : 2 ratio occur, depending on the rate of substrate consumption. Slower growth rates favour the production of acetate and pyruvate catabolites (such as formate) at the cost of lactate. Interestingly, bifidobacteria are capable to degrade inulin-type fructans (ITF) (oligofructose and inulin) and arabinoxylan-oligosaccharides (AXOS). Beta-fructofuranosidase activity enables bifidobacteria to degrade ITF. However, this property is strain-dependent. Some strains consume both fructose and oligofructose, with different preferences and degradation rates. Small oligosaccharides (degree of polymerization or DP of 2-7) are taken up, in a sequential order, indicating intracellular degradation and as such giving these bacteria a competitive advantage towards other inulin-type fructan degraders such as lactobacilli, bacteroides and roseburias. Other strains consume long fractions of oligofructose and inulin. Exceptionally, oligosaccharides with a DP of up to 20 (long-chain inulin) are consumed by specific strains. Also, the degradation of AXOS by α-arabinofuranosidase and β-xylosidase is strain-dependent. Particular strains consume the arabinose substituents, whether or not together with a consumption of the xylose backbones of AXOS, either up to xylotetraose or higher and either extra- or intracellularly. The production of high amounts of acetate that accompanies inulin-type fructan degradation by bifidobacteria cross-feeds other colon bacteria involved in the production of butyrate. However, bifidobacterial strain-dependent differences in prebiotic degradation indicate the existence of niche-specific adaptations and hence mechanisms to avoid competition among each other and to favour coexistence with other colon bacteria.","container-title":"Journal of Applied Microbiology","DOI":"10.1111/jam.12415","ISSN":"1365-2672","issue":"3","journalAbbreviation":"J Appl Microbiol","language":"eng","note":"PMID: 24314205","page":"477-491","source":"PubMed","title":"Summer Meeting 2013: growth and physiology of bifidobacteria","title-short":"Summer Meeting 2013","volume":"116","author":[{"family":"De Vuyst","given":"L."},{"family":"Moens","given":"F."},{"family":"Selak","given":"M."},{"family":"Rivière","given":"A."},{"family":"Leroy","given":"F."}],"issued":{"date-parts":[["2014",3]]}}},{"id":2915,"uris":["http://zotero.org/users/local/6BakpO76/items/CZ2YM69Z"],"itemData":{"id":2915,"type":"article-journal","abstract":"Prediction of individualized responses is one of biggest challenges in dietary intervention to modulate human gut microbiota. Bacterial interspecies competition for dietary factors should underlie the inter-subject heterogeneity of microbial responses. Microscale localization of bacterial species around intestinal food structures could provide direct evidence for understanding this, however, little information is currently available. Here we analyzed human fecal sections and found multiple types of bacterial colonization of food structures. The most eminent one was dense and frequent colonization of starch granules by Bifidobacterium adolescentis. After intake of raw potato starch (pSt), B. adolescentis dramatically increased in every carrier of the species, accompanied by an increase in bifidobacterial metabolite acetate. In the other subjects, Eubacterium rectale and its metabolite butyrate increased, but it was suppressed in B. adolescentis carriers. A correlation analysis indicated the contribution of these species to respective metabolites. In vitro analyses of isolates of major gut bacterial species confirmed that these species are major colonizers of pSt and that B. adolescentis can colonize pSt even in the presence of the known starch granule-degrading bacterium Ruminococcus bromii. Collectively, we propose that specific binding of B. adolescentis or E. rectale to pSt selectively induces acetogenic or butyrogenic response of gut microbiota, where the former determines the response of the latter.","container-title":"The ISME journal","DOI":"10.1038/s41396-022-01196-w","ISSN":"1751-7370","issue":"6","journalAbbreviation":"ISME J","language":"eng","note":"PMID: 35115640\nPMCID: PMC9123178","page":"1502-1511","source":"PubMed","title":"Selective induction of human gut-associated acetogenic/butyrogenic microbiota based on specific microbial colonization of indigestible starch granules","volume":"16","author":[{"family":"Nagara","given":"Yusuke"},{"family":"Fujii","given":"Daichi"},{"family":"Takada","given":"Toshihiko"},{"family":"Sato-Yamazaki","given":"Mikiko"},{"family":"Odani","given":"Toru"},{"family":"Oishi","given":"Kenji"}],"issued":{"date-parts":[["2022",6]]}}}],"schema":"https://github.com/citation-style-language/schema/raw/master/csl-citation.json"} </w:instrText>
            </w:r>
            <w:r w:rsidR="006D1CF9" w:rsidRPr="00C42BF6">
              <w:rPr>
                <w:rFonts w:ascii="Arial" w:eastAsia="Arial" w:hAnsi="Arial" w:cs="Arial"/>
                <w:i/>
                <w:iCs/>
                <w:color w:val="000000"/>
              </w:rPr>
              <w:fldChar w:fldCharType="separate"/>
            </w:r>
            <w:r w:rsidR="00F80CF1" w:rsidRPr="00F80CF1">
              <w:rPr>
                <w:rFonts w:ascii="Arial" w:hAnsi="Arial" w:cs="Arial"/>
                <w:color w:val="000000"/>
                <w:vertAlign w:val="superscript"/>
              </w:rPr>
              <w:t>66,67</w:t>
            </w:r>
            <w:r w:rsidR="006D1CF9"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Prevotella</w:t>
            </w:r>
            <w:proofErr w:type="spellEnd"/>
            <w:r w:rsidRPr="00C42BF6">
              <w:rPr>
                <w:rFonts w:ascii="Arial" w:eastAsia="Arial" w:hAnsi="Arial" w:cs="Arial"/>
                <w:i/>
                <w:iCs/>
                <w:color w:val="000000"/>
              </w:rPr>
              <w:t xml:space="preserve"> copri</w:t>
            </w:r>
            <w:r w:rsidR="006D1CF9"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{"citationID":"keNrmlQW","properties":{"formattedCitation":"\\super 75\\uc0\\u8211{}77\\nosupersub{}","plainCitation":"75–77","noteIndex":0},"citationItems":[{"id":2948,"uris":["http://zotero.org/users/local/6BakpO76/items/N3W92Q77"],"itemData":{"id":2948,"type":"article-journal","abstract":"Six strains (CB7(T), CB18, CB23, CB26, CB28 and CB35(T)) were isolated from human faeces. Based on phylogenetic analysis, phenotypic characteristics, cellular fatty acid profiles and menaquinone profiles, these strains could be included within the genus Prevotella and made up two clusters. 16S rRNA gene sequence analysis indicated that five strains were most closely related to Prevotella veroralis, sharing about 92 % sequence similarity; the remaining strain was most closely related to Prevotella shahii, sharing about 90 % sequence similarity. All six strains were obligately anaerobic, non-pigmented, non-spore-forming, non-motile, Gram-negative rods. The cellular fatty acid compositions of the six strains differed significantly from those of other Prevotella species. Five strains (CB7(T), CB18, CB23, CB26 and CB28) contained dimethyl acetals and the major menaquinones of these strains were MK-11, MK-12 and MK-13. The major menaquinones of CB35(T) were MK-12 and MK-13. Based on phenotypic and phylogenetic findings, two novel species, Prevotella copri sp. nov. and Prevotella stercorea sp. nov., are proposed, representing the two different strain clusters. The DNA G+C contents of strains CB7(T) and CB35(T) were 45.3 and 48.2 mol%, respectively. The type strains of P. copri and P. stercorea are CB7(T) (=JCM 13464(T)=DSM 18205(T)) and CB35(T) (=JCM 13469(T)=DSM 18206(T)), respectively.","container-title":"International Journal of Systematic and Evolutionary Microbiology","DOI":"10.1099/ijs.0.64778-0","ISSN":"1466-5026","issue":"Pt 5","journalAbbreviation":"Int J Syst Evol Microbiol","language":"eng","note":"PMID: 17473237","page":"941-946","source":"PubMed","title":"Prevotella copri sp. nov. and Prevotella stercorea sp. nov., isolated from human faeces","volume":"57","author":[{"family":"Hayashi","given":"Hidenori"},{"family":"Shibata","given":"Kensaku"},{"family":"Sakamoto","given":"Mitsuo"},{"family":"Tomita","given":"Shinichi"},{"family":"Benno","given":"Yoshimi"}],"issued":{"date-parts":[["2007",5]]}}},{"id":2946,"uris":["http://zotero.org/users/local/6BakpO76/items/6PWRGI55"],"itemData":{"id":2946,"type":"article-journal","abstract":"Both preclinical and established rheumatoid arthritis (RA) patients display alterations in the gut microbiome. Prevotella spp. are preferentially enriched in a subset of RA patients. Here, we isolated a Prevotella strain, P. copri RA, from the feces of RA patients and showed that colonization of P. copri RA exacerbated arthritis in a collagen-induced arthritis (CIA) model. With the presence of P. copri RA colonization, a high-fiber diet exacerbated arthritis via microbial alterations and intestinal inflammation. Colonization of P. copri together with a high-fiber diet enabled the digestion of complex fiber, which led to the overproduction of organic acids, including fumarate, succinate and short-chain fatty acids. Succinate promoted proinflammatory responses in macrophages, and supplementation with succinate exacerbated arthritis in the CIA model. Our findings highlight the importance of dysbiosis when evaluating the effects of dietary interventions on RA pathogenesis and provide new insight into dietary interventions or microbiome modifications to improve RA management.","container-title":"Cellular &amp; Molecular Immunology","DOI":"10.1038/s41423-022-00934-6","ISSN":"2042-0226","issue":"12","journalAbbreviation":"Cell Mol Immunol","language":"eng","note":"PMID: 36323929\nPMCID: PMC9709035","page":"1414-1424","source":"PubMed","title":"A high-fiber diet synergizes with Prevotella copri and exacerbates rheumatoid arthritis","volume":"19","author":[{"family":"Jiang","given":"Lingjuan"},{"family":"Shang","given":"Mengmeng"},{"family":"Yu","given":"Shengnan"},{"family":"Liu","given":"Yudong"},{"family":"Zhang","given":"Hui"},{"family":"Zhou","given":"Yangzhong"},{"family":"Wang","given":"Min"},{"family":"Wang","given":"Tingting"},{"family":"Li","given":"Hui"},{"family":"Liu","given":"Zhihua"},{"family":"Zhang","given":"Xuan"}],"issued":{"date-parts":[["2022",12]]}}},{"id":2943,"uris":["http://zotero.org/users/local/6BakpO76/items/MJRBF6QV"],"itemData":{"id":2943,"type":"article-journal","abstract":"The human gut microbiota is a crucial factor for the host's physiology with respect to health and disease. Metagenomic shotgun sequencing of microbial gut communities revealed that Prevotella copri is one of the most important players in the gastrointestinal tract of many individuals. Because of the importance of this bacterium we analyzed the growth behavior and the central metabolic pathways of P. copri. Bioinformatic data, transcriptome profiling and enzyme activity measurements indicated that the major pathways are based on glycolysis and succinate production from fumarate. In addition, pyruvate can be degraded to acetate and formate. Electron transport phosphorylation depends on fumarate respiration with NADH and reduced ferredoxin as electron donors. In contrast to Bacteroides vulgatus, P. copri showed a more pronounced dependency on the addition of CO2 or bicarbonate for biomass formation, which is a remarkable difference between P. copri and Bacteroides spp. with important implication in the context of gut microbial competition. The analysis of substrate consumption and product concentrations from many P. copri cultures with different optical densities allowed a prediction of the carbon and electron flow in the central metabolism and a detailed calculation of growth yields as well as carbon and redox balances.","container-title":"Molecular Microbiology","DOI":"10.1111/mmi.14058","ISSN":"1365-2958","issue":"4","journalAbbreviation":"Mol Microbiol","language":"eng","note":"PMID: 29995973","page":"528-540","source":"PubMed","title":"Physiology and central carbon metabolism of the gut bacterium Prevotella copri","volume":"109","author":[{"family":"Franke","given":"Thomas"},{"family":"Deppenmeier","given":"Uwe"}],"issued":{"date-parts":[["2018",8]]}}}],"schema":"https://github.com/citation-style-language/schema/raw/master/csl-citation.json"} </w:instrText>
            </w:r>
            <w:r w:rsidR="006D1CF9" w:rsidRPr="00C42BF6">
              <w:rPr>
                <w:rFonts w:ascii="Arial" w:eastAsia="Arial" w:hAnsi="Arial" w:cs="Arial"/>
                <w:i/>
                <w:iCs/>
                <w:color w:val="000000"/>
              </w:rPr>
              <w:fldChar w:fldCharType="separate"/>
            </w:r>
            <w:r w:rsidR="00F80CF1" w:rsidRPr="00F80CF1">
              <w:rPr>
                <w:rFonts w:ascii="Arial" w:hAnsi="Arial" w:cs="Arial"/>
                <w:color w:val="000000"/>
                <w:vertAlign w:val="superscript"/>
              </w:rPr>
              <w:t>75–77</w:t>
            </w:r>
            <w:r w:rsidR="006D1CF9"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Prevotella</w:t>
            </w:r>
            <w:proofErr w:type="spellEnd"/>
            <w:r w:rsidRPr="00C42BF6">
              <w:rPr>
                <w:rFonts w:ascii="Arial" w:eastAsia="Arial" w:hAnsi="Arial" w:cs="Arial"/>
                <w:i/>
                <w:iCs/>
                <w:color w:val="000000"/>
              </w:rPr>
              <w:t xml:space="preserve"> ruminicola</w:t>
            </w:r>
            <w:r w:rsidR="006D1CF9"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{"citationID":"dxR7ZyPG","properties":{"formattedCitation":"\\super 78\\nosupersub{}","plainCitation":"78","noteIndex":0},"citationItems":[{"id":2951,"uris":["http://zotero.org/users/local/6BakpO76/items/Y78WNCGJ"],"itemData":{"id":2951,"type":"article-journal","abstract":"Bacteriodes ruminicola grown on complex medium with glucose as carbon source gave acetate, CO2, formate and succinate as main fermentation products. No evidence was found for significant glucose catabolism by pathways other than the Embden-Meyerhof sequence. However, [U-14C]glucose fermentation gave products whose specific radioactivities were much lower than expected. There appear to be two main causes. Firstly, a rapid exchange occurred between metabolic intermediates and CO2, probably due to reversibility of the pathway between phosphoenolpyruvate and fumarate. Secondly, non-glucose precursors, mainly peptides and acetate, added to the medium as growth factors, also gave rise to the above end-products. The distortions that such reactions introduce into measurements of ATP molar growth yields based on product analyses and measurements of carbon flux based on radioactivity recovered in products are discussed.","container-title":"Journal of General Microbiology","DOI":"10.1099/00221287-106-2-353","ISSN":"0022-1287","issue":"2","journalAbbreviation":"J Gen Microbiol","language":"eng","note":"PMID: 670931","page":"353-360","source":"PubMed","title":"Origins of fermentation products formed during growth of Bacteroides ruminicola on glucose","volume":"106","author":[{"family":"Mountfort","given":"D. O."},{"family":"Roberton","given":"A. M."}],"issued":{"date-parts":[["1978",6]]}}}],"schema":"https://github.com/citation-style-language/schema/raw/master/csl-citation.json"} </w:instrText>
            </w:r>
            <w:r w:rsidR="006D1CF9" w:rsidRPr="00C42BF6">
              <w:rPr>
                <w:rFonts w:ascii="Arial" w:eastAsia="Arial" w:hAnsi="Arial" w:cs="Arial"/>
                <w:i/>
                <w:iCs/>
                <w:color w:val="000000"/>
              </w:rPr>
              <w:fldChar w:fldCharType="separate"/>
            </w:r>
            <w:r w:rsidR="00F80CF1" w:rsidRPr="00F80CF1">
              <w:rPr>
                <w:rFonts w:ascii="Arial" w:hAnsi="Arial" w:cs="Arial"/>
                <w:color w:val="000000"/>
                <w:vertAlign w:val="superscript"/>
              </w:rPr>
              <w:t>78</w:t>
            </w:r>
            <w:r w:rsidR="006D1CF9" w:rsidRPr="00C42BF6">
              <w:rPr>
                <w:rFonts w:ascii="Arial" w:eastAsia="Arial" w:hAnsi="Arial" w:cs="Arial"/>
                <w:i/>
                <w:iCs/>
                <w:color w:val="000000"/>
              </w:rPr>
              <w:fldChar w:fldCharType="end"/>
            </w:r>
            <w:r w:rsidRPr="00C42BF6">
              <w:rPr>
                <w:rFonts w:ascii="Arial" w:eastAsia="Arial" w:hAnsi="Arial" w:cs="Arial"/>
                <w:color w:val="000000"/>
              </w:rPr>
              <w:t> </w:t>
            </w:r>
          </w:p>
        </w:tc>
      </w:tr>
      <w:tr w:rsidR="00580A30" w:rsidRPr="00C42BF6" w14:paraId="0C816087" w14:textId="77777777" w:rsidTr="1FC84CC2">
        <w:trPr>
          <w:trHeight w:val="1305"/>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9AA38C"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Anti-inflammatory Bacteria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8132AA" w14:textId="3247504F" w:rsidR="277E52C9" w:rsidRPr="00C42BF6" w:rsidRDefault="2EBACE1F" w:rsidP="2EBACE1F">
            <w:pPr>
              <w:jc w:val="center"/>
              <w:rPr>
                <w:rFonts w:ascii="Arial" w:eastAsia="Arial" w:hAnsi="Arial" w:cs="Arial"/>
                <w:color w:val="000000"/>
              </w:rPr>
            </w:pPr>
            <w:r w:rsidRPr="00C42BF6">
              <w:rPr>
                <w:rFonts w:ascii="Arial" w:eastAsia="Arial" w:hAnsi="Arial" w:cs="Arial"/>
                <w:i/>
                <w:iCs/>
                <w:color w:val="000000"/>
              </w:rPr>
              <w:t xml:space="preserve">Bifidobacterium </w:t>
            </w:r>
            <w:proofErr w:type="spellStart"/>
            <w:r w:rsidRPr="00C42BF6">
              <w:rPr>
                <w:rFonts w:ascii="Arial" w:eastAsia="Arial" w:hAnsi="Arial" w:cs="Arial"/>
                <w:i/>
                <w:iCs/>
                <w:color w:val="000000"/>
              </w:rPr>
              <w:t>infantis</w:t>
            </w:r>
            <w:proofErr w:type="spellEnd"/>
            <w:r w:rsidRPr="00C42BF6">
              <w:rPr>
                <w:rFonts w:ascii="Arial" w:eastAsia="Arial" w:hAnsi="Arial" w:cs="Arial"/>
                <w:i/>
                <w:iCs/>
                <w:color w:val="000000"/>
              </w:rPr>
              <w:t xml:space="preserve"> | Bifidobacterium longum</w:t>
            </w:r>
            <w:r w:rsidR="00E9348D"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{"citationID":"IM0fzhLd","properties":{"formattedCitation":"\\super 83\\uc0\\u8211{}87\\nosupersub{}","plainCitation":"83–87","noteIndex":0},"citationItems":[{"id":3026,"uris":["http://zotero.org/users/local/6BakpO76/items/ZB3P3B7C"],"itemData":{"id":3026,"type":"article-journal","abstract":"Abstract: Since originally isolated in 1899, the genus Bifidobacterium has been demonstrated to predominate in the gut microbiota of breastfed infants and to benefit the host by accelerating maturation of the immune response, balancing the immune system to suppress inflammation, improving intestinal barrier function, and increasing acetate production. In particular, Bifidobacterium longum subspecies infantis (B. infantis) is well adapted to the infant gut and has co-evolved with the mother-infant dyad and gut microbiome, in part due to its ability to consume complex carbohydrates found in human milk. B. infantis and its human host have a symbiotic relationship that protects the preterm or term neonate and nourishes a healthy gut microbiota prior to weaning. To provide benefits associated with B. infantis to all infants, a number of commercialized strains have been developed over the past decades. As new ingredients become available, safety and suitability must be assessed in preclinical and clinical studies. Consideration of the full clinical evidence for B. infantis use in pediatric nutrition is critical to better understand its potential impacts on infant health and development. Herein we summarize the recent clinical studies utilizing select strains of commercialized B. infantis.","container-title":"Nutrients","DOI":"10.3390/nu12061581","ISSN":"2072-6643","issue":"6","journalAbbreviation":"Nutrients","language":"eng","note":"PMID: 32481558\nPMCID: PMC7352178","page":"1581","source":"PubMed","title":"Bifidobacterium longum Subspecies infantis (B. infantis) in Pediatric Nutrition: Current State of Knowledge","title-short":"Bifidobacterium longum Subspecies infantis (B. infantis) in Pediatric Nutrition","volume":"12","author":[{"family":"Chichlowski","given":"Maciej"},{"family":"Shah","given":"Neil"},{"family":"Wampler","given":"Jennifer L."},{"family":"Wu","given":"Steven S."},{"family":"Vanderhoof","given":"Jon A."}],"issued":{"date-parts":[["2020",5,28]]}}},{"id":3023,"uris":["http://zotero.org/users/local/6BakpO76/items/VAS4SZY2"],"itemData":{"id":3023,"type":"article-journal","abstract":"BACKGROUND: The treatment of irritable bowel syndrome (IBS) is a challenge because its cause remains unknown. Previous clinical trials to examine the efficacy of probiotic Bifidobacterium infantis 35624 (B. infantis) in patients with IBS have shown inconsistent findings. This study aimed to assess the combined effect of B. infantis on reducing the symptom severity of IBS based on the published data.\nMETHODS: A meta-analysis was conducted using fixed-effect models to estimate the combined effect of B. infantis on primary outcomes, which included abdominal pain, bloating/distention, and bowel habit satisfaction. A systematic review was performed based on PubMed, Cochrane Library, and EMBASE databases to identify the randomized controlled trials comparing probiotic B. infantis with placebo in treating IBS symptoms, published up until 31 December 2016. The standardized mean difference (SMD) method was used to combine data since scales to measure the efficacy of probiotics were different among studies.\nRESULTS: A total of five studies were identified as suitable for inclusion, including three studies with single probiotic B. infantis and two studies with composite probiotics containing B. infantis. Treatment with single probiotic B. infantis didn't impact on abdominal pain, bloating/distention, or bowel habit satisfaction among IBS patients. However, patients who received composite probiotics containing B. infantis had significantly reduced abdominal pain (SMD, 0.22; 95% CI, 0.03-0.41) and bloating/distention (SMD, 0.30; 95% CI, 0.04-0.56). After combining the data from six studies, the improvement of bloating/distention among IBS patients remained significant (SMD, 0.21; 95% CI, 0.07-0.35).\nCONCLUSION: Composite probiotics containing B. infantis might be an effective therapeutic option for IBS patients, which could significantly alleviate the symptoms of IBS without significant adverse effects. However, the efficacy of single probiotic B. infantis on IBS has not been confirmed yet, which needs to be further validated by more large-sized randomized clinical trials.","container-title":"Current Medical Research and Opinion","DOI":"10.1080/03007995.2017.1292230","ISSN":"1473-4877","issue":"7","journalAbbreviation":"Curr Med Res Opin","language":"eng","note":"PMID: 28166427","page":"1191-1197","source":"PubMed","title":"Efficacy of Bifidobacterium infantis 35624 in patients with irritable bowel syndrome: a meta-analysis","title-short":"Efficacy of Bifidobacterium infantis 35624 in patients with irritable bowel syndrome","volume":"33","author":[{"family":"Yuan","given":"Fuqiang"},{"family":"Ni","given":"Huijuan"},{"family":"Asche","given":"Carl V."},{"family":"Kim","given":"Minchul"},{"family":"Walayat","given":"Saqib"},{"family":"Ren","given":"Jinma"}],"issued":{"date-parts":[["2017",7]]}}},{"id":3021,"uris":["http://zotero.org/users/local/6BakpO76/items/WZFT75YM"],"itemData":{"id":3021,"type":"article-journal","abstract":"Certain therapeutic microbes, including Bifidobacteria infantis (B. infantis) 35624 exert beneficial immunoregulatory effects by mimicking commensal-immune interactions; however, the value of these effects in patients with non-gastrointestinal inflammatory conditions remains unclear. In this study, we assessed the impact of oral administration of B. infantis 35624, for 6‒8 weeks on inflammatory biomarker and plasma cytokine levels in patients with ulcerative colitis (UC) (n = 22), chronic fatigue syndrome (CFS) (n = 48) and psoriasis (n = 26) in three separate randomized, double-blind, placebo-controlled interventions. Additionally, the effect of B. infantis 35624 on immunological biomarkers in healthy subjects (n = 22) was assessed. At baseline, both gastrointestinal (UC) and non-gastrointestinal (CFS and psoriasis) patients had significantly increased plasma levels of C-reactive protein (CRP) and the pro-inflammatory cytokines tumor necrosis factor α (TNF-α) and interleukin-6 (IL-6) compared with healthy volunteers. B. infantis 35624 feeding resulted in reduced plasma CRP levels in all three inflammatory disorders compared with placebo. Interestingly, plasma TNF-α was reduced in CFS and psoriasis while IL-6 was reduced in UC and CFS. Furthermore, in healthy subjects, LPS-stimulated TNF-α and IL-6 secretion by peripheral blood mononuclear cells (PBMCs) was significantly reduced in the B. infantis 35624-treated groups compared with placebo following eight weeks of feeding. These results demonstrate the ability of this microbe to reduce systemic pro-inflammatory biomarkers in both gastrointestinal and non-gastrointestinal conditions. In conclusion, these data show that the immunomodulatory effects of the microbiota in humans are not limited to the mucosal immune system but extend to the systemic immune system.","container-title":"Gut Microbes","DOI":"10.4161/gmic.25487","ISSN":"1949-0984","issue":"4","journalAbbreviation":"Gut Microbes","language":"eng","note":"PMID: 23842110\nPMCID: PMC3744517","page":"325-339","source":"PubMed","title":"Bifidobacterium infantis 35624 modulates host inflammatory processes beyond the gut","volume":"4","author":[{"family":"Groeger","given":"David"},{"family":"O'Mahony","given":"Liam"},{"family":"Murphy","given":"Eileen F."},{"family":"Bourke","given":"John F."},{"family":"Dinan","given":"Timothy G."},{"family":"Kiely","given":"Barry"},{"family":"Shanahan","given":"Fergus"},{"family":"Quigley","given":"Eamonn M. M."}],"issued":{"date-parts":[["2013"]]}}},{"id":3018,"uris":["http://zotero.org/users/local/6BakpO76/items/DH3VENXZ"],"itemData":{"id":3018,"type":"article-journal","abstract":"The therapeutic and preventive application of probiotics for necrotizing enterocolitis (NEC) has been supported by more and more experimental and clinical evidence in which Toll-like receptor 4 (TLR-4) exerts a significant role. In immune cells, probiotics not only regulate the expression of TLR-4 but also use the TLR-4 to modulate the immune response. Probiotics may also use the TLR-4 in immature enterocytes for anti-inflammation. Here we demonstrate that probiotic conditioned media (PCM) from Bifidobacterium longum supp infantis but not isolated organisms attenuates interleukin-6 (IL-6) induction in response to IL-1β by using TLR-4 in a human fetal small intestinal epithelial cell line (H4 cells), human fetal small intestinal xenografts, mouse fetal small intestinal organ culture tissues, and primary NEC enterocytes. Furthermore, we show that PCM, using TLR-4, downregulates the mRNA expression of interleukin-1 receptor-associated kinase 2 (IRAK-2), a common adapter protein shared by IL-1β and TLR-4 signaling. PCM also reduces the phosphorylation of the activator-protein 1 (AP-1) transcription factors c-Jun and c-Fos in response to IL-1β stimulation in a TLR-4-dependent manner. This study suggests that PCM may use TLR-4 through IRAK-2 and via AP-1 to prevent IL-1β-induced IL-6 induction in immature enterocytes. Based on these observations, the combined use of probiotics and anti-TLR-4 therapy to prevent NEC may not be a good strategy.","container-title":"American Journal of Physiology. Gastrointestinal and Liver Physiology","DOI":"10.1152/ajpgi.00090.2016","ISSN":"1522-1547","issue":"4","journalAbbreviation":"Am J Physiol Gastrointest Liver Physiol","language":"eng","note":"PMID: 27562058\nPMCID: PMC5142200","page":"G744-G753","source":"PubMed","title":"Anti-inflammatory effects of Bifidobacterium longum subsp infantis secretions on fetal human enterocytes are mediated by TLR-4 receptors","volume":"311","author":[{"family":"Meng","given":"Di"},{"family":"Zhu","given":"Weishu"},{"family":"Ganguli","given":"Kriston"},{"family":"Shi","given":"Hai Ning"},{"family":"Walker","given":"W. Allan"}],"issued":{"date-parts":[["2016",10,1]]}}},{"id":3029,"uris":["http://zotero.org/users/local/6BakpO76/items/37AIPCMW"],"itemData":{"id":3029,"type":"article-journal","abstract":"BACKGROUND: Probiotics positively affect inflammatory responses, in part, through Janus kinase/signal transduction and activator of transcription (JAK/STAT) and inflammatory signaling pathways. To evaluate the precise effects of probiotics as protective treatment, we aimed to investigate the effectiveness of Lactobacillus spp., Bifidobacterium spp., and a mixture of these probiotics in modulating the JAK/STAT and inflammatory signaling pathways.\nMETHODS: A quantitative real-time polymerase chain reaction (qPCR) assay was used to analyze the expression of JAK/STAT and inflammatory genes (TIRAP, IRAK4, NEMO, and RIP) following HT-29 cell line treatment with sonicated pathogens Lactobacillus spp., Bifidobacterium spp., and a mixed cocktail. A cytokine assay was also used to evaluate the IL-6 and IL-1β production following the probiotic treatment.\nRESULTS: The probiotic cocktail downregulated the JAK genes and TIRAP, IRAK4, NEMO, and RIP genes in the NF-kB pathway compared to sonicate pathogen treatment cells. The expression of STAT genes was variable following probiotic treatment. The IL-6 and IL-1β production decreased after probiotic treatment.\nCONCLUSIONS: Our probiotic cocktail showed anti-inflammatory effects on HT-29 cells by modulating JAK/STAT and NF-kB pathways. Therefore, Lactobacillus spp. and Bifidobacterium spp. probiotics as nutritional supplements may reduce inflammation-associated diseases such as inflammatory bowel disease (IBD).","container-title":"BMC immunology","DOI":"10.1186/s12865-022-00484-6","ISSN":"1471-2172","issue":"1","journalAbbreviation":"BMC Immunol","language":"eng","note":"PMID: 35240996\nPMCID: PMC8896082","page":"8","source":"PubMed","title":"The effects of the probiotic cocktail on modulation of the NF-kB and JAK/STAT signaling pathways involved in the inflammatory response in bowel disease model","volume":"23","author":[{"family":"Aghamohammad","given":"Shadi"},{"family":"Sepehr","given":"Amin"},{"family":"Miri","given":"Seyedeh Tina"},{"family":"Najafi","given":"Saeideh"},{"family":"Rohani","given":"Mahdi"},{"family":"Pourshafiea","given":"Mohammad R."}],"issued":{"date-parts":[["2022",3,3]]}}}],"schema":"https://github.com/citation-style-language/schema/raw/master/csl-citation.json"} </w:instrText>
            </w:r>
            <w:r w:rsidR="00E9348D" w:rsidRPr="00C42BF6">
              <w:rPr>
                <w:rFonts w:ascii="Arial" w:eastAsia="Arial" w:hAnsi="Arial" w:cs="Arial"/>
                <w:i/>
                <w:iCs/>
                <w:color w:val="000000"/>
              </w:rPr>
              <w:fldChar w:fldCharType="separate"/>
            </w:r>
            <w:r w:rsidR="00F80CF1" w:rsidRPr="00F80CF1">
              <w:rPr>
                <w:rFonts w:ascii="Arial" w:hAnsi="Arial" w:cs="Arial"/>
                <w:color w:val="000000"/>
                <w:vertAlign w:val="superscript"/>
              </w:rPr>
              <w:t>83–87</w:t>
            </w:r>
            <w:r w:rsidR="00E9348D" w:rsidRPr="00C42BF6">
              <w:rPr>
                <w:rFonts w:ascii="Arial" w:eastAsia="Arial" w:hAnsi="Arial" w:cs="Arial"/>
                <w:i/>
                <w:iCs/>
                <w:color w:val="000000"/>
              </w:rPr>
              <w:fldChar w:fldCharType="end"/>
            </w:r>
            <w:r w:rsidRPr="00C42BF6">
              <w:rPr>
                <w:rFonts w:ascii="Arial" w:eastAsia="Arial" w:hAnsi="Arial" w:cs="Arial"/>
                <w:i/>
                <w:iCs/>
                <w:color w:val="000000"/>
              </w:rPr>
              <w:t xml:space="preserve"> | Lactobacillus acidophilus | Lactobacillus rhamnosus</w:t>
            </w:r>
            <w:r w:rsidR="00FA515D"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{"citationID":"jArIZwkU","properties":{"formattedCitation":"\\super 88\\uc0\\u8211{}91\\nosupersub{}","plainCitation":"88–91","noteIndex":0},"citationItems":[{"id":1022,"uris":["http://zotero.org/users/local/6BakpO76/items/G4RFANR8"],"itemData":{"id":1022,"type":"article-journal","abstract":"OBJECTIVE: Diabetes and obesity are characterized by a low-grade inflammation whose molecular origin is unknown. We previously determined, first, that metabolic endotoxemia controls the inflammatory tone, body weight gain, and diabetes, and second, that high-fat feeding modulates gut microbiota and the plasma concentration of lipopolysaccharide (LPS), i.e., metabolic endotoxemia. Therefore, it remained to demonstrate whether changes in gut microbiota control the occurrence of metabolic diseases.\nRESEARCH DESIGN AND METHODS: We changed gut microbiota by means of antibiotic treatment to demonstrate, first, that changes in gut microbiota could be responsible for the control of metabolic endotoxemia, the low-grade inflammation, obesity, and type 2 diabetes and, second, to provide some mechanisms responsible for such effect.\nRESULTS: We found that changes of gut microbiota induced by an antibiotic treatment reduced metabolic endotoxemia and the cecal content of LPS in both high-fat-fed and ob/ob mice. This effect was correlated with reduced glucose intolerance, body weight gain, fat mass development, lower inflammation, oxidative stress, and macrophage infiltration marker mRNA expression in visceral adipose tissue. Importantly, high-fat feeding strongly increased intestinal permeability and reduced the expression of genes coding for proteins of the tight junctions. Furthermore, the absence of CD14 in ob/ob CD14(-)(/)(-) mutant mice mimicked the metabolic and inflammatory effects of antibiotics.\nCONCLUSIONS: This new finding demonstrates that changes in gut microbiota controls metabolic endotoxemia, inflammation, and associated disorders by a mechanism that could increase intestinal permeability. It would thus be useful to develop strategies for changing gut microbiota to control, intestinal permeability, metabolic endotoxemia, and associated disorders.","container-title":"Diabetes","DOI":"10.2337/db07-1403","ISSN":"1939-327X","issue":"6","journalAbbreviation":"Diabetes","language":"eng","note":"PMID: 18305141","page":"1470-1481","source":"PubMed","title":"Changes in gut microbiota control metabolic endotoxemia-induced inflammation in high-fat diet-induced obesity and diabetes in mice","volume":"57","author":[{"family":"Cani","given":"Patrice D."},{"family":"Bibiloni","given":"Rodrigo"},{"family":"Knauf","given":"Claude"},{"family":"Waget","given":"Aurélie"},{"family":"Neyrinck","given":"Audrey M."},{"family":"Delzenne","given":"Nathalie M."},{"family":"Burcelin","given":"Rémy"}],"issued":{"date-parts":[["2008",6]]}}},{"id":3034,"uris":["http://zotero.org/users/local/6BakpO76/items/XACHW26J"],"itemData":{"id":3034,"type":"article-journal","abstract":"Obesity associated with low-grade chronic inflammation and intestinal dysbiosis is considered as a worldwide public health crisis. In the meanwhile, different probiotics have demonstrated beneficial effects on this condition, thus increasing the interest in the development of probiotic treatments. In this context, the aim of this study is to investigate the anti-obesity effects of potential probiotic Lactobacillus acidophilus isolated from the porcine gut. Then, it is found that L. acidophilus reduces body weight, fat mass, inflammation and insulin resistance in mice fed with a high-fat diet (HFD), accompanied by activation in brown adipose tissue (BAT) as well as improvements of energy, glucose and lipid metabolism. Besides, our data indicate that L. acidophilus not only reverses HFD-induced gut dysbiosis, as indicated by the decreased Firmicutes-to-Bacteroidetes ratios and endotoxin bearing Gram-negative bacteria levels, but also maintains intestinal barrier integrity, reduces metabolic endotoxemia, and inhibits the TLR4 / NF- κB signaling pathway. In addition, the results of microbiome phenotype prediction by BugBase and bacterial functional potential prediction using PICRUSt show that L. acidophilus treatment improves the gut microbiota functions involving metabolism, immune response, and pathopoiesia. Furthermore, the anti-obesity effect is transmissible via horizontal faeces transfer from L. acidophilus-treated mice to HFD-fed mice. According to our data, it is seen that L. acidophilus could be a good candidate for probiotic of ameliorating obesity and associated diseases such as hyperlipidemia, nonalcoholic fatty liver diseases, and insulin resistance through its anti-inflammatory properties and alleviation of endothelial dysfunction and gut dysbiosis.","container-title":"Pharmacological Research","DOI":"10.1016/j.phrs.2021.106020","ISSN":"1096-1186","journalAbbreviation":"Pharmacol Res","language":"eng","note":"PMID: 34896249","page":"106020","source":"PubMed","title":"Lactobacillus acidophilus ameliorates obesity in mice through modulation of gut microbiota dysbiosis and intestinal permeability","volume":"175","author":[{"family":"Kang","given":"Yongbo"},{"family":"Kang","given":"Xing"},{"family":"Yang","given":"Hao"},{"family":"Liu","given":"Haixia"},{"family":"Yang","given":"Xiaodan"},{"family":"Liu","given":"Qingqing"},{"family":"Tian","given":"Haixia"},{"family":"Xue","given":"Yang"},{"family":"Ren","given":"Peng"},{"family":"Kuang","given":"Xiaoyu"},{"family":"Cai","given":"Yue"},{"family":"Tong","given":"Mingwei"},{"family":"Li","given":"Lin"},{"family":"Fan","given":"Weiping"}],"issued":{"date-parts":[["2022",1]]}}},{"id":3036,"uris":["http://zotero.org/users/local/6BakpO76/items/RBDKP8R2"],"itemData":{"id":3036,"type":"article-journal","abstract":"Imbalances in gut and reproductive tract microbiota composition, known as dysbiosis, disrupt normal immune function, leading to the elevation of proinflammatory cytokines, compromised immunosurveillance and altered immune cell profiles, all of which may contribute to the pathogenesis of endometriosis. Over time, this immune dysregulation can progress into a chronic state of inflammation, creating an environment conducive to increased adhesion and angiogenesis, which may drive the vicious cycle of endometriosis onset and progression. Recent studies have demonstrated both the ability of endometriosis to induce microbiota changes, and the ability of antibiotics to treat endometriosis. Endometriotic microbiotas have been consistently associated with diminished Lactobacillus dominance, as well as the elevated abundance of bacterial vaginosis-related bacteria and other opportunistic pathogens. Possible explanations for the implications of dysbiosis in endometriosis include the Bacterial Contamination Theory and immune activation, cytokine-impaired gut function, altered estrogen metabolism and signaling, and aberrant progenitor and stem-cell homeostasis. Although preliminary, antibiotic and probiotic treatments have demonstrated efficacy in treating endometriosis, and female reproductive tract (FRT) microbiota sampling has successfully predicted disease risk and stage. Future research should aim to characterize the \"core\" upper FRT microbiota and elucidate mechanisms behind the relationship between the microbiota and endometriosis.","container-title":"International Journal of Molecular Sciences","DOI":"10.3390/ijms22115644","ISSN":"1422-0067","issue":"11","journalAbbreviation":"Int J Mol Sci","language":"eng","note":"PMID: 34073257\nPMCID: PMC8198999","page":"5644","source":"PubMed","title":"Intricate Connections between the Microbiota and Endometriosis","volume":"22","author":[{"family":"Jiang","given":"Irene"},{"family":"Yong","given":"Paul J."},{"family":"Allaire","given":"Catherine"},{"family":"Bedaiwy","given":"Mohamed A."}],"issued":{"date-parts":[["2021",5,26]]}}},{"id":3032,"uris":["http://zotero.org/users/local/6BakpO76/items/E8TF7HSA"],"itemData":{"id":3032,"type":"article-journal","abstract":"This study aimed to evaluate the attenuating effect of Lactobacillus plantarum DP189 on α-synuclein (α-SYN) aggregates in the substantia nigra (SN) of Parkinson's disease (PD) mice via 1-methyl-4-phenyl-1,2,3,6-tetrahydropyridine (MPTP)-induced. Our results indicated that L. plantarum DP189 increased the levels of superoxide dismutase (SOD), glutathione peroxide (GSH-Px), and interleukin-10 (IL-10) and decreased the levels of malondialdehyde (MDA), reactive oxygen species (ROS), tumor necrosis factor-α (TNF-α), interleukin-6 (IL-6), and interleukin-1β (IL-1β). Moreover, L. plantarum DP189 reduced the α-SYN accumulation in SN. Mechanistically, L. plantarum DP189 activated the expression of nuclear factor erythroid 2-related factor (Nrf2)/ARE and PGC-1α pathways and suppressed the NLRP3 inflammasome. Furthermore, fecal analysis showed that L. plantarum DP189 reshaped the gut microbiota in PD mice by reducing the number of pathogenic bacteria (Proteobacteria and Actinobacteria) and increased the abundance of probiotics (Lactobacillus and Prevotella). Our results suggested that L. plantarum DP189 could delay the neurodegeneration caused by the accumulation of α-SYN in the SN of PD mice via suppressing oxidative stress, repressing proinflammatory response, and modulating gut microbiota.","container-title":"Journal of Agricultural and Food Chemistry","DOI":"10.1021/acs.jafc.1c07711","ISSN":"1520-5118","issue":"4","journalAbbreviation":"J Agric Food Chem","language":"eng","note":"PMID: 35067061","page":"1163-1173","source":"PubMed","title":"Lactobacillus plantarum DP189 Reduces α-SYN Aggravation in MPTP-Induced Parkinson's Disease Mice via Regulating Oxidative Damage, Inflammation, and Gut Microbiota Disorder","volume":"70","author":[{"family":"Wang","given":"Lei"},{"family":"Zhao","given":"Zijian"},{"family":"Zhao","given":"Lei"},{"family":"Zhao","given":"Yujuan"},{"family":"Yang","given":"Ge"},{"family":"Wang","given":"Chao"},{"family":"Gao","given":"Lei"},{"family":"Niu","given":"Chunhua"},{"family":"Li","given":"Shengyu"}],"issued":{"date-parts":[["2022",2,2]]}}}],"schema":"https://github.com/citation-style-language/schema/raw/master/csl-citation.json"} </w:instrText>
            </w:r>
            <w:r w:rsidR="00FA515D" w:rsidRPr="00C42BF6">
              <w:rPr>
                <w:rFonts w:ascii="Arial" w:eastAsia="Arial" w:hAnsi="Arial" w:cs="Arial"/>
                <w:i/>
                <w:iCs/>
                <w:color w:val="000000"/>
              </w:rPr>
              <w:fldChar w:fldCharType="separate"/>
            </w:r>
            <w:r w:rsidR="00F80CF1" w:rsidRPr="00F80CF1">
              <w:rPr>
                <w:rFonts w:ascii="Arial" w:hAnsi="Arial" w:cs="Arial"/>
                <w:color w:val="000000"/>
                <w:vertAlign w:val="superscript"/>
              </w:rPr>
              <w:t>88–91</w:t>
            </w:r>
            <w:r w:rsidR="00FA515D"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Faecalibacterium</w:t>
            </w:r>
            <w:proofErr w:type="spellEnd"/>
            <w:r w:rsidRPr="00C42BF6">
              <w:rPr>
                <w:rFonts w:ascii="Arial" w:eastAsia="Arial" w:hAnsi="Arial" w:cs="Arial"/>
                <w:i/>
                <w:iCs/>
                <w:color w:val="000000"/>
              </w:rPr>
              <w:t xml:space="preserve"> prausnitzii</w:t>
            </w:r>
            <w:r w:rsidR="00C10AA9"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{"citationID":"oWGlYJMb","properties":{"formattedCitation":"\\super 27\\uc0\\u8211{}29\\nosupersub{}","plainCitation":"27–29","noteIndex":0},"citationItems":[{"id":2826,"uris":["http://zotero.org/users/local/6BakpO76/items/SYALLJAG"],"itemData":{"id":2826,"type":"article-journal","abstract":"A decrease in the abundance and biodiversity of intestinal bacteria within the dominant phylum Firmicutes has been observed repeatedly in Crohn disease (CD) patients. In this study, we determined the composition of the mucosa-associated microbiota of CD patients at the time of surgical resection and 6 months later using FISH analysis. We found that a reduction of a major member of Firmicutes, Faecalibacterium prausnitzii, is associated with a higher risk of postoperative recurrence of ileal CD. A lower proportion of F. prausnitzii on resected ileal Crohn mucosa also was associated with endoscopic recurrence at 6 months. To evaluate the immunomodulatory properties of F. prausnitzii we analyzed the anti-inflammatory effects of F. prausnitzii in both in vitro (cellular models) and in vivo [2,4,6-trinitrobenzenesulphonic acid (TNBS)-induced] colitis in mice. In Caco-2 cells transfected with a reporter gene for NF-kappaB activity, F. prausnitzii had no effect on IL-1beta-induced NF-kappaB activity, whereas the supernatant abolished it. In vitro peripheral blood mononuclear cell stimulation by F. prausnitzii led to significantly lower IL-12 and IFN-gamma production levels and higher secretion of IL-10. Oral administration of either live F. prausnitzii or its supernatant markedly reduced the severity of TNBS colitis and tended to correct the dysbiosis associated with TNBS colitis, as demonstrated by real-time quantitative PCR (qPCR) analysis. F. prausnitzii exhibits anti-inflammatory effects on cellular and TNBS colitis models, partly due to secreted metabolites able to block NF-kappaB activation and IL-8 production. These results suggest that counterbalancing dysbiosis using F. prausnitzii as a probiotic is a promising strategy in CD treatment.","container-title":"Proceedings of the National Academy of Sciences of the United States of America","DOI":"10.1073/pnas.0804812105","ISSN":"1091-6490","issue":"43","journalAbbreviation":"Proc Natl Acad Sci U S A","language":"eng","note":"PMID: 18936492\nPMCID: PMC2575488","page":"16731-16736","source":"PubMed","title":"Faecalibacterium prausnitzii is an anti-inflammatory commensal bacterium identified by gut microbiota analysis of Crohn disease patients","volume":"105","author":[{"family":"Sokol","given":"Harry"},{"family":"Pigneur","given":"Bénédicte"},{"family":"Watterlot","given":"Laurie"},{"family":"Lakhdari","given":"Omar"},{"family":"Bermúdez-Humarán","given":"Luis G."},{"family":"Gratadoux","given":"Jean-Jacques"},{"family":"Blugeon","given":"Sébastien"},{"family":"Bridonneau","given":"Chantal"},{"family":"Furet","given":"Jean-Pierre"},{"family":"Corthier","given":"Gérard"},{"family":"Grangette","given":"Corinne"},{"family":"Vasquez","given":"Nadia"},{"family":"Pochart","given":"Philippe"},{"family":"Trugnan","given":"Germain"},{"family":"Thomas","given":"Ginette"},{"family":"Blottière","given":"Hervé M."},{"family":"Doré","given":"Joël"},{"family":"Marteau","given":"Philippe"},{"family":"Seksik","given":"Philippe"},{"family":"Langella","given":"Philippe"}],"issued":{"date-parts":[["2008",10,28]]}}},{"id":2829,"uris":["http://zotero.org/users/local/6BakpO76/items/7MK9L2JK"],"itemData":{"id":2829,"type":"article-journal","abstract":"Butyrate-producing bacteria play a key role in colonic health in humans. This review provides an overview of the current knowledge of the diversity, metabolism and microbial ecology of this functionally important group of bacteria. Human colonic butyrate producers are Gram-positive firmicutes, but are phylogenetically diverse, with the two most abundant groups related to Eubacterium rectale/Roseburia spp. and to Faecalibacterium prausnitzii. Five different arrangements have been identified for the genes of the central pathway involved in butyrate synthesis, while in most cases butyryl-CoA : acetate CoA-transferase, rather than butyrate kinase, appears to perform the final step in butyrate synthesis. Mechanisms have been proposed recently in non-gut Clostridium spp. whereby butyrate synthesis can result in energy generation via both substrate-level phosphorylation and proton gradients. Here we suggest that these mechanisms also apply to the majority of butyrate producers from the human colon. The roles of these bacteria in the gut community and their influence on health are now being uncovered, taking advantage of the availability of cultured isolates and molecular methodologies. Populations of F. prausnitzii are reported to be decreased in Crohn's disease, for example, while populations of Roseburia relatives appear to be particularly sensitive to the diet composition in human volunteer studies.","container-title":"FEMS microbiology letters","DOI":"10.1111/j.1574-6968.2009.01514.x","ISSN":"1574-6968","issue":"1","journalAbbreviation":"FEMS Microbiol Lett","language":"eng","note":"PMID: 19222573","page":"1-8","source":"PubMed","title":"Diversity, metabolism and microbial ecology of butyrate-producing bacteria from the human large intestine","volume":"294","author":[{"family":"Louis","given":"Petra"},{"family":"Flint","given":"Harry J."}],"issued":{"date-parts":[["2009",5]]}}},{"id":2832,"uris":["http://zotero.org/users/local/6BakpO76/items/X9MQ5EUL"],"itemData":{"id":2832,"type":"article-journal","abstract":"Two newly isolated strains of obligately anaerobic bacteria from human faeces are shown here to be related to Fusobacterium prausnitzii, which is regarded as one of the most abundant colonizers of the human colon. These strains, along with Fusobacterium prausnitzii ATCC 27768(T) and 27766, are non-motile and produce butyrate, formate and lactate, but not hydrogen as fermentation products. A new finding is that all four strains produce D-lactate, but not L-lactate. The strains have a requirement for acetate in the growth medium and this may account for the previously reported requirement for rumen fluid. The DNA G+C content of the four strains is 47-57 mol%. Together with phylogenetic analysis based on 16S rRNA sequencing, this establishes that Fusobacterium prausnitzii strains are only distantly related to Fusobacterium sensu stricto and are more closely related to members of Clostridium cluster IV (the Clostridium leptum group). It is proposed that a new genus, Faecalibacterium gen. nov. be created; this genus should include Faecalibacterium prausnitzii gen. nov., comb. nov. ATCC 27768(T) (= NCIMB 13872(T)) (formerly Fusobacterium prausnitzii) as the type species together with ATCC 27766 and the newly isolated strains A2-165 and L2-6.","container-title":"International Journal of Systematic and Evolutionary Microbiology","DOI":"10.1099/00207713-52-6-2141","ISSN":"1466-5026","issue":"Pt 6","journalAbbreviation":"Int J Syst Evol Microbiol","language":"eng","note":"PMID: 12508881","page":"2141-2146","source":"PubMed","title":"Growth requirements and fermentation products of Fusobacterium prausnitzii, and a proposal to reclassify it as Faecalibacterium prausnitzii gen. nov., comb. nov","volume":"52","author":[{"family":"Duncan","given":"Sylvia H."},{"family":"Hold","given":"Georgina L."},{"family":"Harmsen","given":"Hermie J. M."},{"family":"Stewart","given":"Colin S."},{"family":"Flint","given":"Harry J."}],"issued":{"date-parts":[["2002",11]]}}}],"schema":"https://github.com/citation-style-language/schema/raw/master/csl-citation.json"} </w:instrText>
            </w:r>
            <w:r w:rsidR="00C10AA9" w:rsidRPr="00C42BF6">
              <w:rPr>
                <w:rFonts w:ascii="Arial" w:eastAsia="Arial" w:hAnsi="Arial" w:cs="Arial"/>
                <w:i/>
                <w:iCs/>
                <w:color w:val="000000"/>
              </w:rPr>
              <w:fldChar w:fldCharType="separate"/>
            </w:r>
            <w:r w:rsidR="00F80CF1" w:rsidRPr="00F80CF1">
              <w:rPr>
                <w:rFonts w:ascii="Arial" w:hAnsi="Arial" w:cs="Arial"/>
                <w:color w:val="000000"/>
                <w:vertAlign w:val="superscript"/>
              </w:rPr>
              <w:t>27–29</w:t>
            </w:r>
            <w:r w:rsidR="00C10AA9"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Akkermansia</w:t>
            </w:r>
            <w:proofErr w:type="spellEnd"/>
            <w:r w:rsidRPr="00C42BF6">
              <w:rPr>
                <w:rFonts w:ascii="Arial" w:eastAsia="Arial" w:hAnsi="Arial" w:cs="Arial"/>
                <w:i/>
                <w:iCs/>
                <w:color w:val="000000"/>
              </w:rPr>
              <w:t xml:space="preserve"> muciniphila</w:t>
            </w:r>
            <w:r w:rsidR="00C10AA9"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{"citationID":"7rtEhedA","properties":{"formattedCitation":"\\super 46\\uc0\\u8211{}51\\nosupersub{}","plainCitation":"46–51","noteIndex":0},"citationItems":[{"id":2863,"uris":["http://zotero.org/users/local/6BakpO76/items/GLCAD89V"],"itemData":{"id":2863,"type":"article-journal","abstract":"OBJECTIVE: Recent studies suggest the beneficial effects of metformin on glucose metabolism may be microbially mediated. We examined the association of type 2 diabetes, metformin, and gut microbiota in community-dwelling Colombian adults. On the basis of previous research, we hypothesized that metformin is associated with higher levels of short-chain fatty acid (SCFA)-producing and mucin-degrading microbiota.\nRESEARCH DESIGN AND METHODS: Participants were selected from a larger cohort of 459 participants. The present analyses focus on the 28 participants diagnosed with diabetes-14 taking metformin- and the 84 participants without diabetes who were matched (3-to-1) to participants with diabetes by sex, age, and BMI. We measured demographic information, anthropometry, and blood biochemical parameters and collected fecal samples from which we performed 16S rRNA gene sequencing to analyze the composition and structure of the gut microbiota.\nRESULTS: We found an association between diabetes and gut microbiota that was modified by metformin use. Compared with participants without diabetes, participants with diabetes taking metformin had higher relative abundance of Akkermansia muciniphila, a microbiota known for mucin degradation, and several gut microbiota known for production of SCFAs, including Butyrivibrio, Bifidobacterium bifidum, Megasphaera, and an operational taxonomic unit of Prevotella. In contrast, compared with participants without diabetes, participants with diabetes not taking metformin had higher relative abundance of Clostridiaceae 02d06 and a distinct operational taxonomic unit of Prevotella and a lower abundance of Enterococcus casseliflavus.\nCONCLUSIONS: Our results support the hypothesis that metformin shifts gut microbiota composition through the enrichment of mucin-degrading A. muciniphila as well as several SCFA-producing microbiota. Future studies are needed to determine if these shifts mediate metformin's glycemic and anti-inflammatory properties.","container-title":"Diabetes Care","DOI":"10.2337/dc16-1324","ISSN":"1935-5548","issue":"1","journalAbbreviation":"Diabetes Care","language":"eng","note":"PMID: 27999002","page":"54-62","source":"PubMed","title":"Metformin Is Associated With Higher Relative Abundance of Mucin-Degrading Akkermansia muciniphila and Several Short-Chain Fatty Acid-Producing Microbiota in the Gut","volume":"40","author":[{"family":"Cuesta-Zuluaga","given":"Jacobo","non-dropping-particle":"de la"},{"family":"Mueller","given":"Noel T."},{"family":"Corrales-Agudelo","given":"Vanessa"},{"family":"Velásquez-Mejía","given":"Eliana P."},{"family":"Carmona","given":"Jenny A."},{"family":"Abad","given":"José M."},{"family":"Escobar","given":"Juan S."}],"issued":{"date-parts":[["2017",1]]}}},{"id":2861,"uris":["http://zotero.org/users/local/6BakpO76/items/862NUDUG"],"itemData":{"id":2861,"type":"article-journal","abstract":"Accumulating evidence suggests that the human intestinal microbiota contributes to the aetiology of colorectal cancer (CRC), not only via the pro-carcinogenic activities of specific pathogens but also via the influence of the wider microbial community, particularly its metabolome. Recent data have shown that the short-chain fatty acids acetate, propionate and butyrate function in the suppression of inflammation and cancer, whereas other microbial metabolites, such as secondary bile acids, promote carcinogenesis. In this Review, we discuss the relationship between diet, microbial metabolism and CRC and argue that the cumulative effects of microbial metabolites should be considered in order to better predict and prevent cancer progression.","container-title":"Nature Reviews. Microbiology","DOI":"10.1038/nrmicro3344","ISSN":"1740-1534","issue":"10","journalAbbreviation":"Nat Rev Microbiol","language":"eng","note":"PMID: 25198138","page":"661-672","source":"PubMed","title":"The gut microbiota, bacterial metabolites and colorectal cancer","volume":"12","author":[{"family":"Louis","given":"Petra"},{"family":"Hold","given":"Georgina L."},{"family":"Flint","given":"Harry J."}],"issued":{"date-parts":[["2014",10]]}}},{"id":2858,"uris":["http://zotero.org/users/local/6BakpO76/items/ECEMW2PT"],"itemData":{"id":2858,"type":"article-journal","container-title":"Gut Microbes","DOI":"10.1080/19490976.2016.1182295","ISSN":"1949-0984","issue":"3","journalAbbreviation":"Gut Microbes","language":"eng","note":"PMID: 27115177\nPMCID: PMC4939910","page":"187-188","source":"PubMed","title":"Gut microbial metabolites in health and disease","volume":"7","author":[{"family":"Flint","given":"Harry J."}],"issued":{"date-parts":[["2016",5,3]]}}},{"id":2382,"uris":["http://zotero.org/users/local/6BakpO76/items/FASZ7ZJT"],"itemData":{"id":2382,"type":"article-journal","abstract":"The formation of SCFA is the result of a complex interplay between diet and the gut microbiota within the gut lumen environment. The discovery of receptors, across a range of cell and tissue types for which short chain fatty acids SCFA appear to be the natural ligands, has led to increased interest in SCFA as signaling molecules between the gut microbiota and the host. SCFA represent the major carbon flux from the diet through the gut microbiota to the host and evidence is emerging for a regulatory role of SCFA in local, intermediary and peripheral metabolism. However, a lack of well-designed and controlled human studies has hampered our understanding of the significance of SCFA in human metabolic health. This review aims to pull together recent findings on the role of SCFA in human metabolism to highlight the multi-faceted role of SCFA on different metabolic systems.","container-title":"Gut Microbes","DOI":"10.1080/19490976.2015.1134082","ISSN":"1949-0984","issue":"3","journalAbbreviation":"Gut Microbes","language":"eng","note":"PMID: 26963409\nPMCID: PMC4939913","page":"189-200","source":"PubMed","title":"Formation of short chain fatty acids by the gut microbiota and their impact on human metabolism","volume":"7","author":[{"family":"Morrison","given":"Douglas J."},{"family":"Preston","given":"Tom"}],"issued":{"date-parts":[["2016",5,3]]}}},{"id":2852,"uris":["http://zotero.org/users/local/6BakpO76/items/H3U42CGK"],"itemData":{"id":2852,"type":"article-journal","abstract":"Phytochemicals derived from oats are reported to possess a beneficial effect on modulating dyslipidemia, specifically on lowering total and LDL cholesterol. However, deeper insights into its mechanism remain unclear. In this randomized controlled study, we assigned 210 mildly hypercholesterolemic subjects from three study centers across China (Beijing, Nanjing, and Shanghai) to consume 80 g of oats or rice daily for 45 days. Plasma lipid profiles, short chain fatty acids (SCFAs), and fecal microbiota were measured. The results showed that total cholesterol (TC) and non-high-density lipoprotein cholesterol (non-HDL-C) decreased significantly with both oats and rice intake after 30 and 45 days. The reduction in TC and non-HDL-C was greater in the participants consuming oats compared with rice at day 45 (p = 0.011 and 0.049, respectively). Oat consumption significantly increased the abundance of Akkermansia muciniphila and Roseburia, and the relative abundance of Dialister, Butyrivibrio, and Paraprevotella, and decreased unclassified f-Sutterellaceae. In the oat group, Bifidobacterium abundance was negatively correlated with LDL-C (p = 0.01, r = -0.31) and, TC and LDL-C were negatively correlated to Faecalibacterium prausnitzii (p = 0.02, r = -0.29; p = 0.03, r = -0.27, respectively). Enterobacteriaceae, Roseburia, and Faecalibacterium prausnitzii were positively correlated with plasma butyric acid and valeric acid concentrations and negatively correlated to isobutyric acid. HDL-C was negatively correlated with valeric acid (p = 0.02, r = -0.25) and total triglyceride (TG) was positively correlated to isovaleric acid (p = 0.03, r = 0.23). Taken together, oats consumption significantly reduced TC and LDL-C, and also mediated a prebiotic effect on gut microbiome. Akkermansia muciniphila, Roseburia, Bifidobacterium, and Faecalibacterium prausnitzii, and plasma SCFA correlated with oat-induced changes in plasma lipids, suggesting prebiotic activity of oats to modulate gut microbiome could contribute towards its cholesterol-lowering effect.","container-title":"Frontiers in Immunology","DOI":"10.3389/fimmu.2021.787797","ISSN":"1664-3224","journalAbbreviation":"Front Immunol","language":"eng","note":"PMID: 34956218\nPMCID: PMC8697019","page":"787797","source":"PubMed","title":"The Prebiotic Effects of Oats on Blood Lipids, Gut Microbiota, and Short-Chain Fatty Acids in Mildly Hypercholesterolemic Subjects Compared With Rice: A Randomized, Controlled Trial","title-short":"The Prebiotic Effects of Oats on Blood Lipids, Gut Microbiota, and Short-Chain Fatty Acids in Mildly Hypercholesterolemic Subjects Compared With Rice","volume":"12","author":[{"family":"Xu","given":"Dengfeng"},{"family":"Feng","given":"Meiyuan"},{"family":"Chu","given":"YiFang"},{"family":"Wang","given":"Shaokang"},{"family":"Shete","given":"Varsha"},{"family":"Tuohy","given":"Kieran M."},{"family":"Liu","given":"Feng"},{"family":"Zhou","given":"Xirui"},{"family":"Kamil","given":"Alison"},{"family":"Pan","given":"Da"},{"family":"Liu","given":"Hechun"},{"family":"Yang","given":"Xian"},{"family":"Yang","given":"Chao"},{"family":"Zhu","given":"Baoli"},{"family":"Lv","given":"Na"},{"family":"Xiong","given":"Qian"},{"family":"Wang","given":"Xin"},{"family":"Sun","given":"Jianqin"},{"family":"Sun","given":"Guiju"},{"family":"Yang","given":"Yuexin"}],"issued":{"date-parts":[["2021"]]}}},{"id":2849,"uris":["http://zotero.org/users/local/6BakpO76/items/GH3Y3Z28"],"itemData":{"id":2849,"type":"article-journal","abstract":"The gut microbiota consists of a set of microorganisms that colonizes the intestine and ferment fibers, among other nutrients, from the host's diet. A healthy gut microbiota, colonized mainly by beneficial microorganisms, has a positive effect on digestion and plays a role in disease prevention. However, dysregulation of the gut microbiota can contribute to various diseases. The nutrition of the host plays an important role in determining the composition of the gut microbiota. A healthy diet, rich in fiber, can beneficially modulate the gut microbiota. In this sense, oats are a source of both soluble and insoluble fiber. Oats are considered a functional ingredient with prebiotic potential and contain plant proteins, unsaturated fats, and antioxidant compounds. The impact of oat consumption on the gut microbiota is still emerging. Associations between oat consumption and the abundance of Akkermansia muciniphila, Roseburia, Lactobacillus, Bifidobacterium, and Faecalibacterium prausnitzii have already been observed. Therefore, this integrative review summarizes the findings from studies on the relationship between oat consumption, the gut microbiota, and the metabolites, mainly short-chain fatty acids, it produces.","container-title":"Nutrients","DOI":"10.3390/nu15163534","ISSN":"2072-6643","issue":"16","journalAbbreviation":"Nutrients","language":"eng","note":"PMID: 37630725\nPMCID: PMC10459712","page":"3534","source":"PubMed","title":"Relationship between Oat Consumption, Gut Microbiota Modulation, and Short-Chain Fatty Acid Synthesis: An Integrative Review","title-short":"Relationship between Oat Consumption, Gut Microbiota Modulation, and Short-Chain Fatty Acid Synthesis","volume":"15","author":[{"family":"Fabiano","given":"Giovanna Alexandre"},{"family":"Shinn","given":"Leila Marie"},{"family":"Antunes","given":"Adriane Elisabete Costa"}],"issued":{"date-parts":[["2023",8,11]]}}}],"schema":"https://github.com/citation-style-language/schema/raw/master/csl-citation.json"} </w:instrText>
            </w:r>
            <w:r w:rsidR="00C10AA9" w:rsidRPr="00C42BF6">
              <w:rPr>
                <w:rFonts w:ascii="Arial" w:eastAsia="Arial" w:hAnsi="Arial" w:cs="Arial"/>
                <w:i/>
                <w:iCs/>
                <w:color w:val="000000"/>
              </w:rPr>
              <w:fldChar w:fldCharType="separate"/>
            </w:r>
            <w:r w:rsidR="00F80CF1" w:rsidRPr="00F80CF1">
              <w:rPr>
                <w:rFonts w:ascii="Arial" w:hAnsi="Arial" w:cs="Arial"/>
                <w:color w:val="000000"/>
                <w:vertAlign w:val="superscript"/>
              </w:rPr>
              <w:t>46–51</w:t>
            </w:r>
            <w:r w:rsidR="00C10AA9"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Roseburia</w:t>
            </w:r>
            <w:proofErr w:type="spellEnd"/>
            <w:r w:rsidRPr="00C42BF6">
              <w:rPr>
                <w:rFonts w:ascii="Arial" w:eastAsia="Arial" w:hAnsi="Arial" w:cs="Arial"/>
                <w:i/>
                <w:iCs/>
                <w:color w:val="000000"/>
              </w:rPr>
              <w:t xml:space="preserve"> intestinalis</w:t>
            </w:r>
            <w:r w:rsidR="00C10AA9"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{"citationID":"qZIgzFGg","properties":{"formattedCitation":"\\super 32,39,40\\nosupersub{}","plainCitation":"32,39,40","noteIndex":0},"citationItems":[{"id":2965,"uris":["http://zotero.org/users/local/6BakpO76/items/MP7I2WJW"],"itemData":{"id":2965,"type":"article-journal","abstract":"Bacterial growth often alters the environment, which in turn can impact interspecies interactions among bacteria. Here, we used an in vitro batch system containing mucin beads to emulate the dynamic host environment and to study its impact on the interactions between two abundant and prevalent human gut bacteria, the primary fermenter Bacteroides thetaiotaomicron and the butyrate producer Roseburia intestinalis. By combining machine learning and flow cytometry, we found that the number of viable B. thetaiotaomicron cells decreases with glucose consumption due to acid production, while R. intestinalis survives post-glucose depletion by entering a slow growth mode. Both species attach to mucin beads, but only viable cell counts of B. thetaiotaomicron increase significantly. The number of viable co-culture cells varies significantly over time compared to those of monocultures. A combination of targeted metabolomics and RNA-seq showed that the slow growth mode of R. intestinalis represents a diauxic shift towards acetate and lactate consumption, whereas B. thetaiotaomicron survives glucose depletion and low pH by foraging on mucin sugars. In addition, most of the mucin monosaccharides we tested inhibited the growth of R. intestinalis but not B. thetaiotaomicron. We encoded these causal relationships in a kinetic model, which reproduced the observed dynamics. In summary, we explored how R. intestinalis and B. thetaiotaomicron respond to nutrient scarcity and how this affects their dynamics. We highlight the importance of understanding bacterial metabolic strategies to effectively modulate microbial dynamics in changing conditions.","container-title":"The ISME journal","DOI":"10.1038/s41396-023-01501-1","ISSN":"1751-7370","issue":"11","journalAbbreviation":"ISME J","language":"eng","note":"PMID: 37670028\nPMCID: PMC10579405","page":"1940-1952","source":"PubMed","title":"Starvation responses impact interaction dynamics of human gut bacteria Bacteroides thetaiotaomicron and Roseburia intestinalis","volume":"17","author":[{"family":"Liu","given":"Bin"},{"family":"Garza","given":"Daniel Rios"},{"family":"Gonze","given":"Didier"},{"family":"Krzynowek","given":"Anna"},{"family":"Simoens","given":"Kenneth"},{"family":"Bernaerts","given":"Kristel"},{"family":"Geirnaert","given":"Annelies"},{"family":"Faust","given":"Karoline"}],"issued":{"date-parts":[["2023",11]]}}},{"id":2987,"uris":["http://zotero.org/users/local/6BakpO76/items/GMH8I7B9"],"itemData":{"id":2987,"type":"article-journal","abstract":"In vitro simulated digestion and fecal fermentation were performed to investigate the influence of mixed grains on gut microbes. In addition, the key metabolic pathways and enzymes associated with short-chain fatty acids (SCFAs) were explored. The mixed grains exhibited an observable regulatory effect on the composition and metabolism of intestinal microorganisms, especially in probiotics, such as Bifidobacterium spp., Lactobacillus spp., and Faecalibacterium spp. WR (wheat + rye), WB (wheat + highland barley) and WO (wheat + oats) tended to generate lactate and acetate, which are related to Sutterella, Staphylococcus, etc. WQ (wheat + quinoa) induced high propionate and butyrate accumulation by consuming lactate and acetate, mainly through Roseburia inulinivorans, Coprococcus catus and Anaerostipes sp., etc. Moreover, bacteria enriched in different mixed grain groups regulated the expression of pivotal enzymes in metabolic pathways and then affected the generation of SCFAs. These results provide new knowledge on the characteristics of intestinal microbial metabolism in different mixed grain substrates.","container-title":"Food Research International (Ottawa, Ont.)","DOI":"10.1016/j.foodres.2023.112949","ISSN":"1873-7145","journalAbbreviation":"Food Res Int","language":"eng","note":"PMID: 37316043","page":"112949","source":"PubMed","title":"In vitro simulated fecal fermentation of mixed grains on short-chain fatty acid generation and its metabolized mechanism","volume":"170","author":[{"family":"Xu","given":"Lei"},{"family":"Yu","given":"Qiaoru"},{"family":"Ma","given":"Lixue"},{"family":"Su","given":"Tingting"},{"family":"Zhang","given":"Dongjie"},{"family":"Yao","given":"Di"},{"family":"Li","given":"Zhijiang"}],"issued":{"date-parts":[["2023",8]]}}},{"id":2984,"uris":["http://zotero.org/users/local/6BakpO76/items/VZIJYN2V"],"itemData":{"id":2984,"type":"article-journal","abstract":"The human intestinal commensal microbiota and associated metabolic products have long been regarded as contributors to host health. As the identity and activities of the various members of this community have become clearer, newly identified health-associated bacteria, such as Faecalibacterium prausnitzii, Akkermansia muciniphila, Ruminococcus bromii and Roseburia species, have emerged. Notably, the abundance of many of these bacteria is inversely correlated to several disease states. While technological and regulatory hurdles may limit the use of strains from these taxa as probiotics, it should be possible to utilize prebiotics and other dietary components to selectively enhance their growth in situ. Dietary components of potential relevance include well-established prebiotics, such as galacto-oligosaccharides, fructo-oligosaccharides and inulin, while other putative prebiotics, such as other oligosaccharides, polyphenols, resistant starch, algae and seaweed as well as host gut metabolites such as lactate and acetate, may also be applied with the aim of selectively and/or differentially affecting the beneficial bacterial community within the gastrointestinal environment. The present review provides an overview of the dietary components that could be applied in this manner.","container-title":"Gut Microbes","DOI":"10.1080/19490976.2019.1613124","ISSN":"1949-0984","issue":"1","journalAbbreviation":"Gut Microbes","language":"eng","note":"PMID: 31116628\nPMCID: PMC6973326","page":"1-20","source":"PubMed","title":"Potential for enriching next-generation health-promoting gut bacteria through prebiotics and other dietary components","volume":"11","author":[{"family":"Lordan","given":"Cathy"},{"family":"Thapa","given":"Dinesh"},{"family":"Ross","given":"R. Paul"},{"family":"Cotter","given":"Paul D."}],"issued":{"date-parts":[["2020"]]}}}],"schema":"https://github.com/citation-style-language/schema/raw/master/csl-citation.json"} </w:instrText>
            </w:r>
            <w:r w:rsidR="00C10AA9" w:rsidRPr="00C42BF6">
              <w:rPr>
                <w:rFonts w:ascii="Arial" w:eastAsia="Arial" w:hAnsi="Arial" w:cs="Arial"/>
                <w:i/>
                <w:iCs/>
                <w:color w:val="000000"/>
              </w:rPr>
              <w:fldChar w:fldCharType="separate"/>
            </w:r>
            <w:r w:rsidR="00F80CF1" w:rsidRPr="00F80CF1">
              <w:rPr>
                <w:rFonts w:ascii="Arial" w:hAnsi="Arial" w:cs="Arial"/>
                <w:color w:val="000000"/>
                <w:vertAlign w:val="superscript"/>
              </w:rPr>
              <w:t>32,39,40</w:t>
            </w:r>
            <w:r w:rsidR="00C10AA9" w:rsidRPr="00C42BF6">
              <w:rPr>
                <w:rFonts w:ascii="Arial" w:eastAsia="Arial" w:hAnsi="Arial" w:cs="Arial"/>
                <w:i/>
                <w:iCs/>
                <w:color w:val="000000"/>
              </w:rPr>
              <w:fldChar w:fldCharType="end"/>
            </w:r>
            <w:r w:rsidRPr="00C42BF6">
              <w:rPr>
                <w:rFonts w:ascii="Arial" w:eastAsia="Arial" w:hAnsi="Arial" w:cs="Arial"/>
                <w:i/>
                <w:iCs/>
                <w:color w:val="000000"/>
              </w:rPr>
              <w:t xml:space="preserve"> | Lactococcus lactis</w:t>
            </w:r>
            <w:r w:rsidR="001F475C"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{"citationID":"lKuamEng","properties":{"formattedCitation":"\\super 92\\uc0\\u8211{}94\\nosupersub{}","plainCitation":"92–94","noteIndex":0},"citationItems":[{"id":3053,"uris":["http://zotero.org/users/local/6BakpO76/items/IDMK6L6M"],"itemData":{"id":3053,"type":"article-journal","abstract":"The anticancer and anti-inflammatory activities of probiotic Lactococcus lactis NK34 were demonstrated. Treatment of cancer cells such as SK-MES-1, DLD-1, HT-29, LoVo, AGS, and MCF-7 cells with 10(6) CFU/well of L. lactis NK34 resulted in strong inhibition of proliferation (&gt;77% cytotoxicity, p &lt; 0.05). The anti-inflammatory activity of L. lactis NK34 was also demonstrated in lipopolysaccharide-induced RAW 264.7 cells, where the production of nitric oxide and proinflammatory cytokines (tumor necrosis factor-α, interleukin-18, and cyclooxygenase-2) was reduced. These results suggest that L. lactis NK34 could be used as a probiotic microorganism to inhibit the proliferation of cancer cells and production of proinflammatory cytokines.","container-title":"Journal of Microbiology and Biotechnology","DOI":"10.4014/jmb.1503.03033","ISSN":"1738-8872","issue":"10","journalAbbreviation":"J Microbiol Biotechnol","language":"eng","note":"PMID: 26165315","page":"1697-1701","source":"PubMed","title":"Anticancer and Anti-Inflammatory Activity of Probiotic Lactococcus lactis NK34","volume":"25","author":[{"family":"Han","given":"Kyoung Jun"},{"family":"Lee","given":"Na-Kyoung"},{"family":"Park","given":"Hoon"},{"family":"Paik","given":"Hyun-Dong"}],"issued":{"date-parts":[["2015",10]]}}},{"id":3050,"uris":["http://zotero.org/users/local/6BakpO76/items/INWEILCH"],"itemData":{"id":3050,"type":"article-journal","abstract":"The main purpose of the present study was to evaluate the anti-inflammatory activity of Lactococcus lactis BL52 and isolate active substances responsible for anti-inflammatory activity. Head-kidney (HK) macrophages were used for in vitro bioassay-guided isolation, and the structure of the two peptides was identified by mass spectrometry analysis. Lipopolysaccharide (LPS)-induced inflammatory responses in Ctenopharyngodon idella were also examined to evaluate the in vivo anti-inflammatory activity of active substances. Two active peptides were isolated by HPLC from L. lactis BL52, and an in vitro anti-inflammatory assay demonstrated that peptide ALBL1 and ALBL2 dose-dependently inhibited LPS-induced inflammatory cytokines TNF-α, IL-6, and IL-1β and inflammatory factors NO and PGE 2 production in macrophages (p &lt; 0.05). After being treated with 20 mg/Kg peptide ALBL1 and ALBL2, the expression levels of TNF-α, IL-6, IL-1β, NO, and PGE 2 were significantly inhibited (p &lt; 0.05). Results from the in vivo test showed that when the concentration of peptide ALBL1 and ALBL2 reached 30 mg/Kg, the LPS-induced upregulations of TNF-α, IL-6, IL-1β, NO, and PGE 2 were prevented. In addition, peptide ALBL1 and ALBL2 blocked the expression of Toll-like receptor 2 (TLR2) and then suppressed the phosphorylation of nuclear transcription factor-kappa B (NF-κB) p65 and degradation inhibitor of IκBα. Moreover, C. idella treated with peptide ALBL1 and ALBL2 can relieve pathological inflammatory responses caused by LPS. These results suggest that the anti-inflammatory properties of peptide ALBL1 and ALBL2 might be a result from the inhibition of IL-6, IL-1β, and TNF-α expressions through the downregulation of Toll2/NF-κB signaling pathways.","container-title":"International Journal of Molecular Sciences","DOI":"10.3390/ijms23126733","ISSN":"1422-0067","issue":"12","journalAbbreviation":"Int J Mol Sci","language":"eng","note":"PMID: 35743169\nPMCID: PMC9224536","page":"6733","source":"PubMed","title":"Polypeptides Isolated from Lactococcus lactis Alleviates Lipopolysaccharide (LPS)-Induced Inflammation in Ctenopharyngodon idella","volume":"23","author":[{"family":"Li","given":"Pei"},{"family":"Xu","given":"Youqing"},{"family":"Cao","given":"Yupo"},{"family":"Ding","given":"Zhaokun"}],"issued":{"date-parts":[["2022",6,16]]}}},{"id":3048,"uris":["http://zotero.org/users/local/6BakpO76/items/6558NMZU"],"itemData":{"id":3048,"type":"article-journal","abstract":"Depression is a mood disorder with a high prevalence rate globally, which is associated with abnormalities in 5-hydroxytryptamine (5-HT) metabolism. Emerging evidence suggests that certain probiotics that modulate 5-HT metabolism confer beneficial effects on depression. In this study, in vitro enterochromaffin RIN14B cells were used for screening potential antidepressant probiotic Lactococcus lactis strains. The L. lactis strain WHH2078 increased to high levels the 5-HT precursor 5-hydroxytryptophan (5-HTP) and the expression of tryptophan hydroxylase 1 (Tph1), which converts tryptophan to 5-HTP in RIN14B cells. The oral administration of WHH2078 (1 × 109 CFU mL-1) in mice with induced chronic unpredictable mild stress (CUMS) for 5 weeks significantly ameliorated depressive and anxiety-like behaviors in the tail suspension test, forced swim test, sucrose preference test, and open field test. Besides, WHH2078 significantly reduced the serum corticosterone level and restored the central levels of 5-HT, 5-HTP, and brain-derived neurotrophic factor in CUMS-induced mice. Moreover, WHH2078 also reversed the 5-HTP levels in the serum and colon, accompanied by an upregulation in colonic Tph1 gene expression. Using 16S rRNA high-throughput sequencing of feces, WHH2078 was shown to improve the CUMS-induced gut microbial dysbiosis, through restoring alpha diversity and the abundances of Firmicutes and Bacteroidetes. In summary, these results indicate that WHH2078 can alleviate rodent depressive and anxiety-like behaviors in response to CUMS, which is associated with the improvement of 5-HT metabolism and modulation of the gut microbiome composition. Therefore, supplementation of the L. lactis strain WHH2078 with antidepressant properties may serve as a promising therapeutic strategy for chronic stress-induced depression.","container-title":"Food &amp; Function","DOI":"10.1039/d1fo03723d","ISSN":"2042-650X","issue":"2","journalAbbreviation":"Food Funct","language":"eng","note":"PMID: 35006225","page":"957-969","source":"PubMed","title":"Oral administration of Lactococcus lactis WHH2078 alleviates depressive and anxiety symptoms in mice with induced chronic stress","volume":"13","author":[{"family":"Gao","given":"Kan"},{"family":"Farzi","given":"Aitak"},{"family":"Ke","given":"Xueqin"},{"family":"Yu","given":"Yunxia"},{"family":"Chen","given":"Cailin"},{"family":"Chen","given":"Su"},{"family":"Yu","given":"Tengfei"},{"family":"Wang","given":"Haifeng"},{"family":"Li","given":"Yanjun"}],"issued":{"date-parts":[["2022",1,24]]}}}],"schema":"https://github.com/citation-style-language/schema/raw/master/csl-citation.json"} </w:instrText>
            </w:r>
            <w:r w:rsidR="001F475C" w:rsidRPr="00C42BF6">
              <w:rPr>
                <w:rFonts w:ascii="Arial" w:eastAsia="Arial" w:hAnsi="Arial" w:cs="Arial"/>
                <w:i/>
                <w:iCs/>
                <w:color w:val="000000"/>
              </w:rPr>
              <w:fldChar w:fldCharType="separate"/>
            </w:r>
            <w:r w:rsidR="00F80CF1" w:rsidRPr="00F80CF1">
              <w:rPr>
                <w:rFonts w:ascii="Arial" w:hAnsi="Arial" w:cs="Arial"/>
                <w:color w:val="000000"/>
                <w:vertAlign w:val="superscript"/>
              </w:rPr>
              <w:t>92–94</w:t>
            </w:r>
            <w:r w:rsidR="001F475C"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Butyricicoccus</w:t>
            </w:r>
            <w:proofErr w:type="spellEnd"/>
            <w:r w:rsidRPr="00C42BF6">
              <w:rPr>
                <w:rFonts w:ascii="Arial" w:eastAsia="Arial" w:hAnsi="Arial" w:cs="Arial"/>
                <w:i/>
                <w:iCs/>
                <w:color w:val="000000"/>
              </w:rPr>
              <w:t xml:space="preserve"> pullicaecorum</w:t>
            </w:r>
            <w:r w:rsidR="0088724E"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{"citationID":"guCTgIJF","properties":{"formattedCitation":"\\super 95\\uc0\\u8211{}97\\nosupersub{}","plainCitation":"95–97","noteIndex":0},"citationItems":[{"id":3060,"uris":["http://zotero.org/users/local/6BakpO76/items/EHRWRZEQ"],"itemData":{"id":3060,"type":"article-journal","abstract":"Butyrate has several beneficial properties that are essential to maintain gastrointestinal health. Therefore butyrate-producing bacteria are seen as the next generation of probiotics. The butyrate-producing bacterium Butyricicoccus pullicaecorum (a clostridial cluster IV strain) is such a promising probiotic candidate for people suffering from inflammatory bowel disease. To exert its beneficial properties, it is crucial that B. pullicaecorum survives the harsh conditions of the upper gastrointestinal tract to arrive in the colon in a viable and metabolically active state. Before developing a stable formulation of B. pullicaecorum for oral administration, it is important to know its intrinsic acid and bile tolerance. We monitored the survival during and short chain fatty acid production after incubation in conditions simulating the stomach and small intestine using in vitro batch experiments. In case of acid conditions (pH 2 and pH 3), B. pullicaecorum was viable and active but not cultivable. Cultivability was restored during subsequent small intestine conditions. Importantly, bile and pancreatic juice had no lethal effect. Milk, as a suspension medium, only had a protective effect on the cultivability during the first hour at pH 2. B. pullicaecorum was still metabolically active after upper gastrointestinal conditions and produced short chain fatty acids, but a shift from butyrate to acetate production was observed. Although the butyrate-producing anaerobe B. pullicaecorum showed good intrinsic acid and bile tolerance in terms of viability and metabolic activity, colonization efficiency and butyrate production under colon conditions is needed to further evaluate its probiotic potential.","container-title":"Anaerobe","DOI":"10.1016/j.anaerobe.2014.08.010","ISSN":"1095-8274","journalAbbreviation":"Anaerobe","language":"eng","note":"PMID: 25179909","page":"70-74","source":"PubMed","title":"Butyricicoccus pullicaecorum, a butyrate producer with probiotic potential, is intrinsically tolerant to stomach and small intestine conditions","volume":"30","author":[{"family":"Geirnaert","given":"Annelies"},{"family":"Steyaert","given":"Alix"},{"family":"Eeckhaut","given":"Venessa"},{"family":"Debruyne","given":"Bo"},{"family":"Arends","given":"Jan B. A."},{"family":"Van Immerseel","given":"Filip"},{"family":"Boon","given":"Nico"},{"family":"Van de Wiele","given":"Tom"}],"issued":{"date-parts":[["2014",12]]}}},{"id":3058,"uris":["http://zotero.org/users/local/6BakpO76/items/WNSIFDMF"],"itemData":{"id":3058,"type":"article-journal","abstract":"Butyricicoccus pullicaecorum and Megasphaera elsdenii inhabit the human intestine and have probiotic potential. The aim of this study was to evaluate the effects of B. pullicaecorum and M. elsdenii on the lifespan of Caenorhabditis elegans. They significantly (P &lt; 0.05) extended the lifespan of C. elegans compared with Escherichia coli OP50, a standard food for the worm. Analysis of age-related biomarkers such as lipofuscin, body size, and locomotory activity showed that they retarded aging. They all failed to extend the lifespan of daf-12 or dbl-1 loss-of-function C. elegans mutants compared with E. coli OP50-fed worms. However, the increase in lifespan was observed in daf-16, jnk-1, pmk-1, and skn-1 mutants. Moreover, they increased the resistance of C. elegans to a human pathogen, Salmonella typhimurium. In conclusion, B. pullicaecorum and M. elsdenii extend the lifespan of C. elegans via the transforming growth factor-beta (TGF-β) pathway associated with anti-inflammatory processes in the innate immune system.","container-title":"Current Microbiology","DOI":"10.1007/s00284-017-1416-6","ISSN":"1432-0991","issue":"5","journalAbbreviation":"Curr Microbiol","language":"eng","note":"PMID: 29222621","page":"557-564","source":"PubMed","title":"Lifespan Extension of Caenorhabditis elegans by Butyricicoccus pullicaecorum and Megasphaera elsdenii with Probiotic Potential","volume":"75","author":[{"family":"Kwon","given":"Gayeung"},{"family":"Lee","given":"Jiyun"},{"family":"Koh","given":"Jong-Ho"},{"family":"Lim","given":"Young-Hee"}],"issued":{"date-parts":[["2018",5]]}}},{"id":3056,"uris":["http://zotero.org/users/local/6BakpO76/items/QW7WPE72"],"itemData":{"id":3056,"type":"article-journal","abstract":"OBJECTIVE: Many species within the phylum Firmicutes are thought to exert anti-inflammatory effects. We quantified bacteria belonging to the genus Butyricicoccus in stools of patients with ulcerative colitis (UC) and Crohn's disease (CD). We evaluated the effect of Butyricicoccus pullicaecorum in a rat colitis model and analysed the ability to prevent cytokine-induced increases in epithelial permeability.\nDESIGN: A genus-specific quantitative PCR was used for quantification of Butyricicoccus in stools from patients with UC or CD and healthy subjects. The effect of B pullicaecorum on trinitrobenzenesulfonic (TNBS)-induced colitis was assessed and the effect of B pullicaecorum culture supernatant on epithelial barrier function was investigated in vitro.\nRESULTS: The average number of Butyricicoccus in stools from patients with UC and CD in active (UC: 8.61 log10/g stool; CD: 6.58 log10/g stool) and remission phase (UC: 8.69 log10/g stool; CD: 8.38 log10/g stool) was significantly lower compared with healthy subjects (9.32 log10/g stool) and correlated with disease activity in CD. Oral administration of B pullicaecorum resulted in a significant protective effect based on macroscopic and histological criteria and decreased intestinal myeloperoxidase (MPO), tumour necrosis factor α (TNFα) and interleukin (IL)-12 levels. Supernatant of B pullicaecorum prevented the loss of transepithelial resistance (TER) and the increase in IL-8 secretion induced by TNFα and interferon γ (IFN gamma) in a Caco-2 cell model.\nCONCLUSIONS: Patients with inflammatory bowel disease have lower numbers of Butyricicoccus bacteria in their stools. Administration of B pullicaecorum attenuates TNBS-induced colitis in rats and supernatant of B pullicaecorum cultures strengthens the epithelial barrier function by increasing the TER.","container-title":"Gut","DOI":"10.1136/gutjnl-2012-303611","ISSN":"1468-3288","issue":"12","journalAbbreviation":"Gut","language":"eng","note":"PMID: 23263527","page":"1745-1752","source":"PubMed","title":"Butyricicoccus pullicaecorum in inflammatory bowel disease","volume":"62","author":[{"family":"Eeckhaut","given":"Venessa"},{"family":"Machiels","given":"Kathleen"},{"family":"Perrier","given":"Clémentine"},{"family":"Romero","given":"Carlos"},{"family":"Maes","given":"Sofie"},{"family":"Flahou","given":"Bram"},{"family":"Steppe","given":"Marjan"},{"family":"Haesebrouck","given":"Freddy"},{"family":"Sas","given":"Benedikt"},{"family":"Ducatelle","given":"Richard"},{"family":"Vermeire","given":"Severine"},{"family":"Van Immerseel","given":"Filip"}],"issued":{"date-parts":[["2013",12]]}}}],"schema":"https://github.com/citation-style-language/schema/raw/master/csl-citation.json"} </w:instrText>
            </w:r>
            <w:r w:rsidR="0088724E" w:rsidRPr="00C42BF6">
              <w:rPr>
                <w:rFonts w:ascii="Arial" w:eastAsia="Arial" w:hAnsi="Arial" w:cs="Arial"/>
                <w:i/>
                <w:iCs/>
                <w:color w:val="000000"/>
              </w:rPr>
              <w:fldChar w:fldCharType="separate"/>
            </w:r>
            <w:r w:rsidR="00F80CF1" w:rsidRPr="00F80CF1">
              <w:rPr>
                <w:rFonts w:ascii="Arial" w:hAnsi="Arial" w:cs="Arial"/>
                <w:color w:val="000000"/>
                <w:vertAlign w:val="superscript"/>
              </w:rPr>
              <w:t>95–97</w:t>
            </w:r>
            <w:r w:rsidR="0088724E" w:rsidRPr="00C42BF6">
              <w:rPr>
                <w:rFonts w:ascii="Arial" w:eastAsia="Arial" w:hAnsi="Arial" w:cs="Arial"/>
                <w:i/>
                <w:iCs/>
                <w:color w:val="000000"/>
              </w:rPr>
              <w:fldChar w:fldCharType="end"/>
            </w:r>
            <w:r w:rsidRPr="00C42BF6">
              <w:rPr>
                <w:rFonts w:ascii="Arial" w:eastAsia="Arial" w:hAnsi="Arial" w:cs="Arial"/>
                <w:i/>
                <w:iCs/>
                <w:color w:val="000000"/>
              </w:rPr>
              <w:t xml:space="preserve"> | Bacteroides fragilis</w:t>
            </w:r>
            <w:r w:rsidR="00EA4163"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{"citationID":"kIjgs5Tc","properties":{"formattedCitation":"\\super 98\\uc0\\u8211{}100\\nosupersub{}","plainCitation":"98–100","noteIndex":0},"citationItems":[{"id":3068,"uris":["http://zotero.org/users/local/6BakpO76/items/FA3S3W4L"],"itemData":{"id":3068,"type":"article-journal","abstract":"Enterotoxigenic Bacteroides fragilis (ETBF) strains are strains of B. fragilis that secrete a 20-kDa heat-labile zinc-dependent metalloprotease toxin termed the B. fragilis toxin (BFT). BFT is the only recognized virulence factor specific for ETBF. ETBF strains are associated with inflammatory diarrheal disease in children older than 1 year of age and in adults; limited data suggest an association of ETBF colonization with inflammatory bowel disease flare-ups and colorectal cancer. ETBF secretes one of three highly related BFT isoforms. The relationship between BFT isoform and disease expression is unknown. Although the mechanism of action of BFT is incompletely understood, available data suggest that BFT binds to a specific intestinal epithelial cell receptor, stimulating intestinal cell signal transduction pathways that result in cell morphology changes, cleavage of E-cadherin, reduced colonic barrier function, and increased epithelial cell proliferation and cytokine expression (such as the proinflammatory chemokine interleukin-8). Together, the data suggest that in some hosts, ETBF acts via secretion of BFT to induce colitis. However, the full spectrum of clinical disease related to ETBF and the impact of chronic ETBF colonization on the host remain to be defined.","container-title":"Clinical Microbiology Reviews","DOI":"10.1128/CMR.00053-08","ISSN":"1098-6618","issue":"2","journalAbbreviation":"Clin Microbiol Rev","language":"eng","note":"PMID: 19366918\nPMCID: PMC2668231","page":"349-369, Table of Contents","source":"PubMed","title":"Enterotoxigenic Bacteroides fragilis: a rogue among symbiotes","title-short":"Enterotoxigenic Bacteroides fragilis","volume":"22","author":[{"family":"Sears","given":"Cynthia L."}],"issued":{"date-parts":[["2009",4]]}}},{"id":3065,"uris":["http://zotero.org/users/local/6BakpO76/items/NBM3BKVM"],"itemData":{"id":3065,"type":"article-journal","container-title":"PLoS pathogens","DOI":"10.1371/journal.ppat.1009056","ISSN":"1553-7374","issue":"12","journalAbbreviation":"PLoS Pathog","language":"eng","note":"PMID: 33301530\nPMCID: PMC7728264","page":"e1009056","source":"PubMed","title":"Strain diversity in the microbiome: Lessons from Bacteroides fragilis","title-short":"Strain diversity in the microbiome","volume":"16","author":[{"family":"Carrow","given":"Hannah C."},{"family":"Batachari","given":"Lakshmi E."},{"family":"Chu","given":"Hiutung"}],"issued":{"date-parts":[["2020",12]]}}},{"id":3062,"uris":["http://zotero.org/users/local/6BakpO76/items/7R5BL4H2"],"itemData":{"id":3062,"type":"article-journal","abstract":"Bacteroides fragilis is an obligately anaerobic Gram-negative bacterium and a major colonizer of the human large colon where Bacteroides is a predominant genus. During the growth of an individual clonal population, an astonishing number of reversible DNA inversion events occur, driving within-strain diversity. Additionally, the B. fragilis pan-genome contains a large pool of diverse polysaccharide biosynthesis loci, DNA restriction/modification systems and polysaccharide utilization loci, which generates remarkable between-strain diversity. Diversity clearly contributes to the success of B. fragilis within its normal habitat of the gastrointestinal (GI) tract and during infection in the extra-intestinal host environment. Within the GI tract, B. fragilis is usually symbiotic, for example providing localized nutrients for the gut epithelium, but B. fragilis within the GI tract may not always be benign. Metalloprotease toxin production is strongly associated with colorectal cancer. B. fragilis is unique amongst bacteria; some strains export a protein &gt;99 % structurally similar to human ubiquitin and antigenically cross-reactive, which suggests a link to autoimmune diseases. B. fragilis is not a primary invasive enteric pathogen; however, if colonic contents contaminate the extra-intestinal host environment, it successfully adapts to this new habitat and causes infection; classically peritoneal infection arising from rupture of an inflamed appendix or GI surgery, which if untreated, can progress to bacteraemia and death. In this review selected aspects of B. fragilis adaptation to the different habitats of the GI tract and the extra-intestinal host environment are considered, along with the considerable challenges faced when studying this highly variable bacterium.","container-title":"Microbiology (Reading, England)","DOI":"10.1099/mic.0.001156","ISSN":"1465-2080","issue":"4","journalAbbreviation":"Microbiology (Reading)","language":"eng","note":"PMID: 35404220","source":"PubMed","title":"A tale of two habitats: Bacteroides fragilis, a lethal pathogen and resident in the human gastrointestinal microbiome","title-short":"A tale of two habitats","volume":"168","author":[{"family":"Patrick","given":"Sheila"}],"issued":{"date-parts":[["2022",4]]}}}],"schema":"https://github.com/citation-style-language/schema/raw/master/csl-citation.json"} </w:instrText>
            </w:r>
            <w:r w:rsidR="00EA4163" w:rsidRPr="00C42BF6">
              <w:rPr>
                <w:rFonts w:ascii="Arial" w:eastAsia="Arial" w:hAnsi="Arial" w:cs="Arial"/>
                <w:i/>
                <w:iCs/>
                <w:color w:val="000000"/>
              </w:rPr>
              <w:fldChar w:fldCharType="separate"/>
            </w:r>
            <w:r w:rsidR="00F80CF1" w:rsidRPr="00F80CF1">
              <w:rPr>
                <w:rFonts w:ascii="Arial" w:hAnsi="Arial" w:cs="Arial"/>
                <w:color w:val="000000"/>
                <w:vertAlign w:val="superscript"/>
              </w:rPr>
              <w:t>98–100</w:t>
            </w:r>
            <w:r w:rsidR="00EA4163"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Prevotella</w:t>
            </w:r>
            <w:proofErr w:type="spellEnd"/>
            <w:r w:rsidRPr="00C42BF6">
              <w:rPr>
                <w:rFonts w:ascii="Arial" w:eastAsia="Arial" w:hAnsi="Arial" w:cs="Arial"/>
                <w:i/>
                <w:iCs/>
                <w:color w:val="000000"/>
              </w:rPr>
              <w:t xml:space="preserve"> histicola</w:t>
            </w:r>
            <w:r w:rsidR="003B7B1A"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{"citationID":"8l5FQYDX","properties":{"formattedCitation":"\\super 101\\uc0\\u8211{}104\\nosupersub{}","plainCitation":"101–104","noteIndex":0},"citationItems":[{"id":3078,"uris":["http://zotero.org/users/local/6BakpO76/items/645N2R3R"],"itemData":{"id":3078,"type":"article-journal","abstract":"Vascular dementia is a type of dementia from brain damage caused by cerebrovascular lesions and vascular risk factors. Prevotella histicola is a species of Prevotella, belonging to the category of obligate anaerobe. The purpose of our work was to study the protection of Prevotella histicola on cognitive function in rats subjected to vascular dementia (VaD) and investigate underlying molecular mechanisms. The rats were randomly divided into three groups: control group, 2VO group and 2VO + Prevotella histicola group. The VaD rats (the 2VO group and 2VO + Prevotella histicola group) were generated by bilateral common carotid artery occlusion (2VO). Rats in the 2VO+ Prevotella histicola group were administered with Prevotella histicola twice daily. In comparison with the rats in the 2VO group, rats in the 2VO + Prevotella histicola group presented an enhanced cognitive ability, increased synapse-associated protein expression, a downregulation of proinflammatory factors and an upregulation of neurotrophic factors. The relevant mechanism of the protective effect of Prevotella histicola may be associated with the inhibition of glial cell-associated inflammation by regulating phosphorylation of CaMKII. In conclusion, Prevotella histicola attenuates neurological impairments via regulating synapse-associated protein expression and the liberation of inflammatory elements in vascular dementia rats. The findings above might benefit the development of Prevotella histicola transplantation as a promising treatment of VaD.","container-title":"Brain Sciences","DOI":"10.3390/brainsci13081136","ISSN":"2076-3425","issue":"8","journalAbbreviation":"Brain Sci","language":"eng","note":"PMID: 37626492\nPMCID: PMC10452631","page":"1136","source":"PubMed","title":"Prevotella histicola Transplantation Ameliorates Cognitive Impairment and Decreases Oxidative Stress in Vascular Dementia Rats","volume":"13","author":[{"family":"Duan","given":"Rui"},{"family":"Hou","given":"Jiankang"},{"family":"Wang","given":"Xixi"},{"family":"Huang","given":"Zhihang"},{"family":"Cao","given":"Haiming"},{"family":"Hu","given":"Junya"},{"family":"Peng","given":"Qiang"},{"family":"Duan","given":"Huijie"},{"family":"Wang","given":"Qingguang"},{"family":"Chen","given":"Xiangliang"}],"issued":{"date-parts":[["2023",7,29]]}}},{"id":3076,"uris":["http://zotero.org/users/local/6BakpO76/items/VMLT8TP3"],"itemData":{"id":3076,"type":"article-journal","abstract":"Wear particles generated from total joint replacements induce chronic osteolysis mediated by inflammatory upregulation, which leads to implant failure. Recent studies have suggested an important role of the gut microbiota in modulating the host's metabolism and immune system, leading to alterations in bone mass. Following gavage with P. histicola, micro-CT and HE staining revealed that osteolysis was significantly reduced in titanium (Ti)-treated mice. Immunofluorescence analysis revealed an increased macrophage (M)1/M2 ratio in the guts of Ti-treated mice, which decreased when P. histicola was added. P. histicola was also found to upregulate the tight junction proteins ZO-1, occludin, claudin-1, and MUC2 in the gut, reduce the levels of inflammatory factors IL-1β, IL-6, IL-8, and TNF-α, primarily in the ileum and colon, and decrease the expression of IL-1β and TNF-α and increase the level of IL-10 in the serum and cranium. Furthermore, P. histicola treatment resulted in a significant downregulation of CTX-1, RANKL, and RANKL/OPG. These findings demonstrate that P. histicola significantly mitigates osteolysis in Ti-treated mice by improving intestinal microbiota that repairs intestinal leakage and reduces systemic and local inflammation which in turn inhibits RANKL expression for bone resorption. P. histicola treatment may thus be therapeutically beneficial for particle-induced osteolysis.","container-title":"Probiotics and Antimicrobial Proteins","DOI":"10.1007/s12602-023-10057-7","ISSN":"1867-1314","journalAbbreviation":"Probiotics Antimicrob Proteins","language":"eng","note":"PMID: 36897512","source":"PubMed","title":"Prevotella histicola Prevented Particle-Induced Osteolysis via Gut Microbiota-Dependent Modulation of Inflammation in Ti-Treated Mice","author":[{"family":"Huang","given":"Furong"},{"family":"Pan","given":"Hao"},{"family":"Tan","given":"Zenglin"},{"family":"Chen","given":"Lei"},{"family":"Li","given":"Ting"},{"family":"Liu","given":"Yangbo"}],"issued":{"date-parts":[["2023",3,10]]}}},{"id":3073,"uris":["http://zotero.org/users/local/6BakpO76/items/7T3XADWX"],"itemData":{"id":3073,"type":"article-journal","abstract":"Bacterial therapeutics are the emergent alternatives in treating autoimmune diseases such as Rheumatoid Arthritis [RA]. P. histicola MCI 001 is one such therapeutic bacterium that has been proven to treat autoimmune diseases such as RA and multiple sclerosis [MS] in animal models. The present study characterized P. histicola MCI 001 isolated from a human duodenal biopsy, and evaluated its impact on the gut microbial and metabolic profile in a longitudinal study using the collagen-induced arthritis model in HLA-DQ8.AEo transgenic mice. P. histicola MCI 001 though closely related to the type strain of P. histicola, DSM 19854, differed in utilizing glycerol. In culture, P. histicola MCI 001 produced vitamins such as biotin and folate, and was involved in digesting complex carbohydrates and production of acetate. Colonization study showed that duodenum was the predominant niche for the gavaged MCI 001. A longitudinal follow-up of gut microbial profile in arthritic mice treated with MCI 001 suggested that dysbiosis caused due to arthritis was partially restored to the profile of naïve mice after treatment. A taxon-level analysis suggested an expansion of intestinal genus Allobaculum in MCI001 treated arthritic mice. Eubiosis achieved post treatment with P. histicola MCI 001 was also reflected in the increased production of short-chain fatty acids [SCFAs]. Present study suggests that the treatment with P. histicola MCI 001 leads to an expansion of Allobaculum by increasing the availability of simple carbohydrates and acetate. Restoration of microbial profile and metabolites like butyrate induce immune and gut homeostasis.","container-title":"Frontiers in Immunology","DOI":"10.3389/fimmu.2021.609644","ISSN":"1664-3224","journalAbbreviation":"Front Immunol","language":"eng","note":"PMID: 34017324\nPMCID: PMC8130672","page":"609644","source":"PubMed","title":"Prevotella histicola Protects From Arthritis by Expansion of Allobaculum and Augmenting Butyrate Production in Humanized Mice","volume":"12","author":[{"family":"Balakrishnan","given":"Baskar"},{"family":"Luckey","given":"David"},{"family":"Bodhke","given":"Rahul"},{"family":"Chen","given":"Jun"},{"family":"Marietta","given":"Eric"},{"family":"Jeraldo","given":"Patricio"},{"family":"Murray","given":"Joseph"},{"family":"Taneja","given":"Veena"}],"issued":{"date-parts":[["2021"]]}}},{"id":3071,"uris":["http://zotero.org/users/local/6BakpO76/items/FJEU2NMH"],"itemData":{"id":3071,"type":"article-journal","abstract":"BACKGROUND: Estrogen deficiency-induced depression is closely associated with an imbalance in intestinal microbiota and inflammation. Prevotella histicola (P. histicola), an emerging probiotic, apparently improves inflammatory responses. This study aims to verify the antidepressant-like effects of P. histicola and clarify its potential mechanisms.\nMETHODS: Mice were treated with P. histicola and cohousing after ovariectomy (OVX). The changes in depression-like behaviors among mice were examined by behavioral tasks, and alterations in the microbiota were detected through 16S rRNA sequencing. Changes in neuronal injury, protein synthesis, inflammatory factors, intestinal permeability, and nerve proliferation were observed by H&amp;E, Nissl staining, qRT-PCR, western blotting, and immunofluorescence.\nRESULTS: P. histicola significantly reduces depression-like behaviors and neuronal damage induced by estrogen deficiency. Additionally, P. histicola significantly increases the abundance of intestinal flora, especially Lactobacillus and Akkermansia. Meanwhile, the cohoused mice also had a better emotional state and neutral structure compared with OVX mice. P. histicola was also found to upregulate tight junction proteins ZO-1, occludin, claudin-1, and MUC2 in the ileum and colon and reduce the levels of inflammatory factors VCAM, MCP-1, IL-6, IL-8, and TNF-α, mainly in the ileum, colon, and decrease the expression of COX-2, TLR4, Myd88, JNK, MCP-1, IL-6, IL-8, and TNF-α in the hippocampus. Moreover, significant downregulation of apoptosis (caspase-3 and caspase-8) and upregulation of neurotrophic factors (BDNF and Ki-67) were observed after P. histicola treatment.\nCONCLUSION: Our data show that P. histicola significantly mitigates depression of OVX mice through improvement in intestinal microbiota to repair intestinal leakage and inhibit central inflammation to promote the expression of BDNF for hippocampal neurogenesis. P. histicola may be therapeutically beneficial for PMD.","container-title":"Frontiers in Nutrition","DOI":"10.3389/fnut.2021.805465","ISSN":"2296-861X","journalAbbreviation":"Front Nutr","language":"eng","note":"PMID: 35155523\nPMCID: PMC8826649","page":"805465","source":"PubMed","title":"Prevotella histicola Mitigated Estrogen Deficiency-Induced Depression via Gut Microbiota-Dependent Modulation of Inflammation in Ovariectomized Mice","volume":"8","author":[{"family":"Huang","given":"Furong"},{"family":"Liu","given":"Xiujie"},{"family":"Xu","given":"Sheng"},{"family":"Hu","given":"Sitao"},{"family":"Wang","given":"Sisi"},{"family":"Shi","given":"Dibang"},{"family":"Wang","given":"Kaicheng"},{"family":"Wang","given":"Zhongxiang"},{"family":"Lin","given":"Qiongqiong"},{"family":"Li","given":"Shan"},{"family":"Zhao","given":"Siyuan"},{"family":"Jin","given":"KeKe"},{"family":"Wang","given":"Chuang"},{"family":"Chen","given":"Lei"},{"family":"Wang","given":"Fangyan"}],"issued":{"date-parts":[["2021"]]}}}],"schema":"https://github.com/citation-style-language/schema/raw/master/csl-citation.json"} </w:instrText>
            </w:r>
            <w:r w:rsidR="003B7B1A" w:rsidRPr="00C42BF6">
              <w:rPr>
                <w:rFonts w:ascii="Arial" w:eastAsia="Arial" w:hAnsi="Arial" w:cs="Arial"/>
                <w:i/>
                <w:iCs/>
                <w:color w:val="000000"/>
              </w:rPr>
              <w:fldChar w:fldCharType="separate"/>
            </w:r>
            <w:r w:rsidR="00F80CF1" w:rsidRPr="00F80CF1">
              <w:rPr>
                <w:rFonts w:ascii="Arial" w:hAnsi="Arial" w:cs="Arial"/>
                <w:color w:val="000000"/>
                <w:vertAlign w:val="superscript"/>
              </w:rPr>
              <w:t>101–104</w:t>
            </w:r>
            <w:r w:rsidR="003B7B1A"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Roseburia</w:t>
            </w:r>
            <w:proofErr w:type="spellEnd"/>
            <w:r w:rsidRPr="00C42BF6">
              <w:rPr>
                <w:rFonts w:ascii="Arial" w:eastAsia="Arial" w:hAnsi="Arial" w:cs="Arial"/>
                <w:i/>
                <w:iCs/>
                <w:color w:val="000000"/>
              </w:rPr>
              <w:t xml:space="preserve"> hominis</w:t>
            </w:r>
            <w:r w:rsidR="003B7B1A"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{"citationID":"xNbIMqn5","properties":{"formattedCitation":"\\super 105\\uc0\\u8211{}108\\nosupersub{}","plainCitation":"105–108","noteIndex":0},"citationItems":[{"id":3090,"uris":["http://zotero.org/users/local/6BakpO76/items/TKIHMG5F"],"itemData":{"id":3090,"type":"article-journal","abstract":"Modulation of the gut microbiome as a means to improve human health has recently gained increasing interest. In this study, it was investigated whether cRG-I, a carrot-derived pectic polysaccharide, enriched in rhamnogalacturonan-I (RG-I) classifies as a potential prebiotic ingredient using novel in vitro models. First, digestion methods involving α-amylase/brush border enzymes demonstrated the non-digestibility of cRG-I by host-derived enzymes versus digestible (starch/maltose) and non-digestible controls (inulin). Then, a recently developed short-term (48 h) colonic incubation strategy was applied and revealed that cRG-I fermentation increased levels of health-promoting short-chain fatty acids (SCFA; mainly acetate and propionate) and lactate comparable but not identical to the reference prebiotic inulin. Upon upgrading this fermentation model by inclusion of a simulated mucosal environment while applying quantitative 16S-targeted Illumina sequencing, cRG-I was additionally shown to specifically stimulate operational taxonomic units (OTUs) related to health-associated species such as Bifidobacterium longum, Bifidobacterium adolescentis, Bacteroides dorei, Bacteroides ovatus, Roseburia hominis, Faecalibacterium prausnitzii, and Eubacterium hallii. Finally, in a novel model to assess host-microbe interactions (Caco-2/peripheral blood mononuclear cells (PBMC) co-culture) fermented cRG-I increased barrier integrity while decreasing markers for inflammation. In conclusion, by using novel in vitro models, cRG-I was identified as a promising prebiotic candidate to proceed to clinical studies.","container-title":"Nutrients","DOI":"10.3390/nu12071917","ISSN":"2072-6643","issue":"7","journalAbbreviation":"Nutrients","language":"eng","note":"PMID: 32610452\nPMCID: PMC7400138","page":"1917","source":"PubMed","title":"A Novel Non-Digestible, Carrot-Derived Polysaccharide (cRG-I) Selectively Modulates the Human Gut Microbiota while Promoting Gut Barrier Integrity: An Integrated in Vitro Approach","title-short":"A Novel Non-Digestible, Carrot-Derived Polysaccharide (cRG-I) Selectively Modulates the Human Gut Microbiota while Promoting Gut Barrier Integrity","volume":"12","author":[{"family":"Van den Abbeele","given":"Pieter"},{"family":"Verstrepen","given":"Lynn"},{"family":"Ghyselinck","given":"Jonas"},{"family":"Albers","given":"Ruud"},{"family":"Marzorati","given":"Massimo"},{"family":"Mercenier","given":"Annick"}],"issued":{"date-parts":[["2020",6,29]]}}},{"id":3087,"uris":["http://zotero.org/users/local/6BakpO76/items/NTHCN49Y"],"itemData":{"id":3087,"type":"article-journal","abstract":"BACKGROUND: Alterations in gut microbiota have been implicated in HIV infection and cardiovascular disease. However, how gut microbial alterations relate to host inflammation and metabolite profiles, and their relationships with atherosclerosis, have not been well-studied, especially in the context of HIV infection. Here, we examined associations of gut microbial species and functional components measured by shotgun metagenomics with carotid artery plaque assessed by B-mode carotid artery ultrasound in 320 women with or at high risk of HIV (65% HIV +) from the Women's Interagency HIV Study. We further integrated plaque-associated microbial features with serum proteomics (74 inflammatory markers measured by the proximity extension assay) and plasma metabolomics (378 metabolites measured by liquid chromatography tandem mass spectrometry) in relation to carotid artery plaque in up to 433 women.\nRESULTS: Fusobacterium nucleatum, a potentially pathogenic bacteria, was positively associated with carotid artery plaque, while five microbial species (Roseburia hominis, Roseburia inulinivorans, Johnsonella ignava, Odoribacter splanchnicus, Clostridium saccharolyticum) were inversely associated with plaque. Results were consistent between women with and without HIV. Fusobacterium nucleatum was positively associated with several serum proteomic inflammatory markers (e.g., CXCL9), and the other plaque-related species were inversely associated with proteomic inflammatory markers (e.g., CX3CL1). These microbial-associated proteomic inflammatory markers were also positively associated with plaque. Associations between bacterial species (especially Fusobacterium nucleatum) and plaque were attenuated after further adjustment for proteomic inflammatory markers. Plaque-associated species were correlated with several plasma metabolites, including the microbial metabolite imidazole-propionate (ImP), which was positively associated with plaque and several pro-inflammatory markers. Further analysis identified additional bacterial species and bacterial hutH gene (encoding enzyme histidine ammonia-lyase in ImP production) associated with plasma ImP levels. A gut microbiota score based on these ImP-associated species was positively associated with plaque and several pro-inflammatory markers.\nCONCLUSION: Among women living with or at risk of HIV, we identified several gut bacterial species and a microbial metabolite ImP associated with carotid artery atherosclerosis, which might be related to host immune activation and inflammation. Video Abstract.","container-title":"Microbiome","DOI":"10.1186/s40168-023-01566-2","ISSN":"2049-2618","issue":"1","journalAbbreviation":"Microbiome","language":"eng","note":"PMID: 37237391\nPMCID: PMC10224225","page":"119","source":"PubMed","title":"Gut microbiota, circulating inflammatory markers and metabolites, and carotid artery atherosclerosis in HIV infection","volume":"11","author":[{"family":"Wang","given":"Zheng"},{"family":"Peters","given":"Brandilyn A."},{"family":"Bryant","given":"MacKenzie"},{"family":"Hanna","given":"David B."},{"family":"Schwartz","given":"Tara"},{"family":"Wang","given":"Tao"},{"family":"Sollecito","given":"Christopher C."},{"family":"Usyk","given":"Mykhaylo"},{"family":"Grassi","given":"Evan"},{"family":"Wiek","given":"Fanua"},{"family":"Peter","given":"Lauren St"},{"family":"Post","given":"Wendy S."},{"family":"Landay","given":"Alan L."},{"family":"Hodis","given":"Howard N."},{"family":"Weber","given":"Kathleen M."},{"family":"French","given":"Audrey"},{"family":"Golub","given":"Elizabeth T."},{"family":"Lazar","given":"Jason"},{"family":"Gustafson","given":"Deborah"},{"family":"Sharma","given":"Anjali"},{"family":"Anastos","given":"Kathryn"},{"family":"Clish","given":"Clary B."},{"family":"Burk","given":"Robert D."},{"family":"Kaplan","given":"Robert C."},{"family":"Knight","given":"Rob"},{"family":"Qi","given":"Qibin"}],"issued":{"date-parts":[["2023",5,27]]}}},{"id":3084,"uris":["http://zotero.org/users/local/6BakpO76/items/S5AREAAT"],"itemData":{"id":3084,"type":"article-journal","abstract":"OBJECTIVE: Roseburia hominis is a flagellated gut anaerobic bacterium belonging to the Lachnospiraceae family within the Firmicutes phylum. A significant decrease of R. hominis colonization in the gut of ulcerative colitis patients has recently been demonstrated. In this work, we have investigated the mechanisms of R. hominis-host cross talk using both murine and in vitro models.\nDESIGN: The complete genome sequence of R. hominis A2-183 was determined. C3H/HeN germ-free mice were mono-colonized with R. hominis, and the host-microbe interaction was studied using histology, transcriptome analyses and FACS. Further investigations were performed in vitro and using the TLR5KO and DSS-colitis murine models.\nRESULTS: In the bacterium, R. hominis, host gut colonization upregulated genes involved in conjugation/mobilization, metabolism, motility, and chemotaxis. In the host cells, bacterial colonization upregulated genes related to antimicrobial peptides, gut barrier function, toll-like receptors (TLR) signaling, and T cell biology. CD4+CD25+FoxP3+ T cell numbers increased in the lamina propria of both mono-associated and conventional mice treated with R. hominis. Treatment with the R. hominis bacterium provided protection against DSS-induced colitis. The role of flagellin in host-bacterium interaction was also investigated.\nCONCLUSION: Mono-association of mice with R. hominis bacteria results in specific bidirectional gene expression patterns. A set of genes thought to be important for host colonization are induced in R. hominis, while the host cells respond by strengthening gut barrier function and enhancing Treg population expansion, possibly via TLR5-flagellin signaling. Our data reveal the immunomodulatory properties of R. hominis that could be useful for the control and treatment of gut inflammation.","container-title":"Frontiers in Immunology","DOI":"10.3389/fimmu.2017.01166","ISSN":"1664-3224","journalAbbreviation":"Front Immunol","language":"eng","note":"PMID: 29018440\nPMCID: PMC5622956","page":"1166","source":"PubMed","title":"Human Gut Symbiont Roseburia hominis Promotes and Regulates Innate Immunity","volume":"8","author":[{"family":"Patterson","given":"Angela M."},{"family":"Mulder","given":"Imke E."},{"family":"Travis","given":"Anthony J."},{"family":"Lan","given":"Annaig"},{"family":"Cerf-Bensussan","given":"Nadine"},{"family":"Gaboriau-Routhiau","given":"Valerie"},{"family":"Garden","given":"Karen"},{"family":"Logan","given":"Elizabeth"},{"family":"Delday","given":"Margaret I."},{"family":"Coutts","given":"Alistair G. P."},{"family":"Monnais","given":"Edouard"},{"family":"Ferraria","given":"Vanessa C."},{"family":"Inoue","given":"Ryo"},{"family":"Grant","given":"George"},{"family":"Aminov","given":"Rustam I."}],"issued":{"date-parts":[["2017"]]}}},{"id":3082,"uris":["http://zotero.org/users/local/6BakpO76/items/FS49M5VE"],"itemData":{"id":3082,"type":"article-journal","abstract":"OBJECTIVE: Bacteria play an important role in the onset and perpetuation of intestinal inflammation in inflammatory bowel disease (IBD). Unlike in Crohn's disease (CD), in which dysbiosis has been better characterised, in ulcerative colitis (UC), only small cohorts have been studied and showed conflicting data. Therefore, we evaluated in a large cohort if the microbial signature described in CD is also present in UC, and if we could characterise predominant dysbiosis in UC. To assess the functional impact of dysbiosis, we quantified the bacterial metabolites.\nDESIGN: The predominant microbiota from 127 UC patients and 87 age and sex-matched controls was analysed using denaturing gradient gel electrophoresis (DGGE) analysis. Differences were quantitatively validated using real-time PCR. Metabolites were quantified using gas chromatography-mass spectrometry.\nRESULTS: Based on DGGE analysis, the microbial signature previously described in CD was not present in UC. Real-time PCR analysis revealed a lower abundance of Roseburia hominis (p&lt;0.0001) and Faecalibacterium prausnitzii (p&lt;0.0001) in UC patients compared to controls. Both species showed an inverse correlation with disease activity. Short-chain fatty acids (SCFA) were reduced in UC patients (p=0.014), but no direct correlation between SCFA and the identified bacteria was found.\nCONCLUSIONS: The composition of the fecal microbiota of UC patients differs from that of healthy individuals: we found a reduction in R hominis and F prausnitzii, both well-known butyrate-producing bacteria of the Firmicutes phylum. These results underscore the importance of dysbiosis in IBD but suggest that different bacterial species contribute to the pathogenesis of UC and CD.","container-title":"Gut","DOI":"10.1136/gutjnl-2013-304833","ISSN":"1468-3288","issue":"8","journalAbbreviation":"Gut","language":"eng","note":"PMID: 24021287","page":"1275-1283","source":"PubMed","title":"A decrease of the butyrate-producing species Roseburia hominis and Faecalibacterium prausnitzii defines dysbiosis in patients with ulcerative colitis","volume":"63","author":[{"family":"Machiels","given":"Kathleen"},{"family":"Joossens","given":"Marie"},{"family":"Sabino","given":"João"},{"family":"De Preter","given":"Vicky"},{"family":"Arijs","given":"Ingrid"},{"family":"Eeckhaut","given":"Venessa"},{"family":"Ballet","given":"Vera"},{"family":"Claes","given":"Karolien"},{"family":"Van Immerseel","given":"Filip"},{"family":"Verbeke","given":"Kristin"},{"family":"Ferrante","given":"Marc"},{"family":"Verhaegen","given":"Jan"},{"family":"Rutgeerts","given":"Paul"},{"family":"Vermeire","given":"Séverine"}],"issued":{"date-parts":[["2014",8]]}}}],"schema":"https://github.com/citation-style-language/schema/raw/master/csl-citation.json"} </w:instrText>
            </w:r>
            <w:r w:rsidR="003B7B1A" w:rsidRPr="00C42BF6">
              <w:rPr>
                <w:rFonts w:ascii="Arial" w:eastAsia="Arial" w:hAnsi="Arial" w:cs="Arial"/>
                <w:i/>
                <w:iCs/>
                <w:color w:val="000000"/>
              </w:rPr>
              <w:fldChar w:fldCharType="separate"/>
            </w:r>
            <w:r w:rsidR="00F80CF1" w:rsidRPr="00F80CF1">
              <w:rPr>
                <w:rFonts w:ascii="Arial" w:hAnsi="Arial" w:cs="Arial"/>
                <w:color w:val="000000"/>
                <w:vertAlign w:val="superscript"/>
              </w:rPr>
              <w:t>105–108</w:t>
            </w:r>
            <w:r w:rsidR="003B7B1A" w:rsidRPr="00C42BF6">
              <w:rPr>
                <w:rFonts w:ascii="Arial" w:eastAsia="Arial" w:hAnsi="Arial" w:cs="Arial"/>
                <w:i/>
                <w:iCs/>
                <w:color w:val="000000"/>
              </w:rPr>
              <w:fldChar w:fldCharType="end"/>
            </w:r>
            <w:r w:rsidRPr="00C42BF6">
              <w:rPr>
                <w:rFonts w:ascii="Arial" w:eastAsia="Arial" w:hAnsi="Arial" w:cs="Arial"/>
                <w:i/>
                <w:iCs/>
                <w:color w:val="000000"/>
              </w:rPr>
              <w:t xml:space="preserve"> | Eubacterium rectale</w:t>
            </w:r>
            <w:r w:rsidR="005B6D58"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{"citationID":"2GXs9vp2","properties":{"formattedCitation":"\\super 109\\uc0\\u8211{}112\\nosupersub{}","plainCitation":"109–112","noteIndex":0},"citationItems":[{"id":3101,"uris":["http://zotero.org/users/local/6BakpO76/items/2W6F4DBB"],"itemData":{"id":3101,"type":"article-journal","abstract":"The purpose of this study was to determine whether administration of the microorganism Eubacterium rectale (E. rectale) could regulate dendritic cell (DC) activation and systemic inflammation in herpes simplex virus type 1-induced Behçet's disease (BD). E. rectale, butyrate-producing bacteria, was administered to BD mice. Peripheral blood leukocytes (PBL) and lymph node cells were isolated and analyzed by flow cytometry. 16S rRNA metagenomic analysis was performed in the feces of mice to determine the differences in the composition of the microbial population between normal and BD mice. Serum cytokine levels were measured by enzyme-linked immunosorbent assay. The frequency of DC activation marker CD83 positive cells was significantly increased in PBL of BD mice. Frequencies of CD83+ cells were also significantly increased in patients with active BD. 16S rRNA metagenomic analysis revealed different gut microbiota composition between normal and BD mice. The administration of E. rectale to BD mice reduced the frequency of CD83+ cells and significantly increased the frequency of NK1.1+ cells with the improvement of symptoms. The co-administration of colchicine and E. rectale also significantly reduced the frequency of CD83+ cells. Differences in gut microbiota were observed between normal mice and BD mice, and the administration of E. rectale downregulated the frequency of CD83, which was associated with BD deterioration. These data indicate that E. rectale could be a new therapeutic adjuvant for BD management.","container-title":"Frontiers in Immunology","DOI":"10.3389/fimmu.2021.712312","ISSN":"1664-3224","journalAbbreviation":"Front Immunol","language":"eng","note":"PMID: 34531862\nPMCID: PMC8438521","page":"712312","source":"PubMed","title":"Eubacterium rectale Attenuates HSV-1 Induced Systemic Inflammation in Mice by Inhibiting CD83","volume":"12","author":[{"family":"Islam","given":"S. M. Shamsul"},{"family":"Ryu","given":"Hye-Myung"},{"family":"Sayeed","given":"Hasan M."},{"family":"Byun","given":"Hae-Ok"},{"family":"Jung","given":"Ju-Yang"},{"family":"Kim","given":"Hyoun-Ah"},{"family":"Suh","given":"Chang-Hee"},{"family":"Sohn","given":"Seonghyang"}],"issued":{"date-parts":[["2021"]]}}},{"id":3098,"uris":["http://zotero.org/users/local/6BakpO76/items/W6GR8EWD"],"itemData":{"id":3098,"type":"article-journal","abstract":"Over the last two decades our understanding of the gut microbiota and its contribution to health and disease has been transformed. Among a new 'generation' of potentially beneficial microbes to have been recognized are members of the genus Eubacterium, who form a part of the core human gut microbiome. The genus consists of phylogenetically, and quite frequently phenotypically, diverse species, making Eubacterium a taxonomically unique and challenging genus. Several members of the genus produce butyrate, which plays a critical role in energy homeostasis, colonic motility, immunomodulation and suppression of inflammation in the gut. Eubacterium spp. also carry out bile acid and cholesterol transformations in the gut, thereby contributing to their homeostasis. Gut dysbiosis and a consequently modified representation of Eubacterium spp. in the gut, have been linked with various human disease states. This review provides an overview of Eubacterium species from a phylogenetic perspective, describes how they alter with diet and age and summarizes its association with the human gut and various health conditions.","container-title":"Gut Microbes","DOI":"10.1080/19490976.2020.1802866","ISSN":"1949-0984","issue":"1","journalAbbreviation":"Gut Microbes","language":"eng","note":"PMID: 32835590\nPMCID: PMC7524325","page":"1802866","source":"PubMed","title":"Gut microbes from the phylogenetically diverse genus Eubacterium and their various contributions to gut health","volume":"12","author":[{"family":"Mukherjee","given":"Arghya"},{"family":"Lordan","given":"Cathy"},{"family":"Ross","given":"R. Paul"},{"family":"Cotter","given":"Paul D."}],"issued":{"date-parts":[["2020",11,9]]}}},{"id":3095,"uris":["http://zotero.org/users/local/6BakpO76/items/3ZHBK7LV"],"itemData":{"id":3095,"type":"article-journal","abstract":"The gut microbiota has been recognized as an important factor in the development of metabolic diseases such as obesity and is considered an endocrine organ involved in the maintenance of energy homeostasis and host immunity. Dysbiosis can change the functioning of the intestinal barrier and the gut-associated lymphoid tissues (GALT) by allowing the passage of structural components of bacteria, such as lipopolysaccharides (LPS), which activate inflammatory pathways that may contribute to the development of insulin resistance. Furthermore, intestinal dysbiosis can alter the production of gastrointestinal peptides related to satiety, resulting in an increased food intake. In obese people, this dysbiosis seems be related to increases of the phylum Firmicutes, the genus Clostridium, and the species Eubacterium rectale, Clostridium coccoides, Lactobacillus reuteri, Akkermansia muciniphila, Clostridium histolyticum, and Staphylococcus aureus.","container-title":"Gut Microbes","DOI":"10.1080/19490976.2018.1465157","ISSN":"1949-0984","issue":"4","journalAbbreviation":"Gut Microbes","language":"eng","note":"PMID: 29667480\nPMCID: PMC6219651","page":"308-325","source":"PubMed","title":"The human gut microbiota: Metabolism and perspective in obesity","title-short":"The human gut microbiota","volume":"9","author":[{"family":"Gomes","given":"Aline Corado"},{"family":"Hoffmann","given":"Christian"},{"family":"Mota","given":"João Felipe"}],"issued":{"date-parts":[["2018",7,4]]}}},{"id":3093,"uris":["http://zotero.org/users/local/6BakpO76/items/SWE4ZYLL"],"itemData":{"id":3093,"type":"article-journal","abstract":"Microbiota-induced tumorigenesis is well established in solid tumors of the gastrointestinal tract but rarely explored in hematologic malignancies. To determine the role of gut microbiota in lymphoma progression, we performed metagenomic sequencing on human primary gastrointestinal B cell lymphomas. We identified a distinct microbiota profile of intestinal lymphoma, with significantly decreased symbiotic microbes, particularly the genus Eubacterium and notably butyrate-producing Eubacterium rectale. Transfer of E. rectale-deficit microbiota of intestinal lymphoma patients to mice caused inflammation and tumor necrosis factor (TNF) production. Conversely, E. rectale treatment reduced TNF levels and the incidence of lymphoma in sensitized Eμ-Myc mice. Moreover, lipopolysaccharide from the resident microbiota of lymphoma patients and mice synergizes with TNF signaling and reinforces the NF-κB pathway via the MyD88-dependent TLR4 signaling, amalgamating in enhanced intestinal B cell survival and proliferation. These findings reveal a mechanism of inflammation-associated lymphomagenesis and a potential clinical rationale for therapeutic targeting of gut microbiota.","container-title":"Cell Host &amp; Microbe","DOI":"10.1016/j.chom.2022.07.003","ISSN":"1934-6069","issue":"8","journalAbbreviation":"Cell Host Microbe","language":"eng","note":"PMID: 35952646","page":"1139-1150.e7","source":"PubMed","title":"Butyrate-producing Eubacterium rectale suppresses lymphomagenesis by alleviating the TNF-induced TLR4/MyD88/NF-κB axis","volume":"30","author":[{"family":"Lu","given":"Haiyang"},{"family":"Xu","given":"Xiaoqiang"},{"family":"Fu","given":"Di"},{"family":"Gu","given":"Yubei"},{"family":"Fan","given":"Rong"},{"family":"Yi","given":"Hongmei"},{"family":"He","given":"Xiangyi"},{"family":"Wang","given":"Chaofu"},{"family":"Ouyang","given":"Binshen"},{"family":"Zhao","given":"Ping"},{"family":"Wang","given":"Li"},{"family":"Xu","given":"Pengpeng"},{"family":"Cheng","given":"Shu"},{"family":"Wang","given":"Zhifeng"},{"family":"Zou","given":"Duowu"},{"family":"Han","given":"Lizhong"},{"family":"Zhao","given":"Weili"}],"issued":{"date-parts":[["2022",8,10]]}}}],"schema":"https://github.com/citation-style-language/schema/raw/master/csl-citation.json"} </w:instrText>
            </w:r>
            <w:r w:rsidR="005B6D58" w:rsidRPr="00C42BF6">
              <w:rPr>
                <w:rFonts w:ascii="Arial" w:eastAsia="Arial" w:hAnsi="Arial" w:cs="Arial"/>
                <w:i/>
                <w:iCs/>
                <w:color w:val="000000"/>
              </w:rPr>
              <w:fldChar w:fldCharType="separate"/>
            </w:r>
            <w:r w:rsidR="00F80CF1" w:rsidRPr="00F80CF1">
              <w:rPr>
                <w:rFonts w:ascii="Arial" w:hAnsi="Arial" w:cs="Arial"/>
                <w:color w:val="000000"/>
                <w:vertAlign w:val="superscript"/>
              </w:rPr>
              <w:t>109–112</w:t>
            </w:r>
            <w:r w:rsidR="005B6D58" w:rsidRPr="00C42BF6">
              <w:rPr>
                <w:rFonts w:ascii="Arial" w:eastAsia="Arial" w:hAnsi="Arial" w:cs="Arial"/>
                <w:i/>
                <w:iCs/>
                <w:color w:val="000000"/>
              </w:rPr>
              <w:fldChar w:fldCharType="end"/>
            </w:r>
            <w:r w:rsidRPr="00C42BF6">
              <w:rPr>
                <w:rFonts w:ascii="Arial" w:eastAsia="Arial" w:hAnsi="Arial" w:cs="Arial"/>
                <w:color w:val="000000"/>
              </w:rPr>
              <w:t> </w:t>
            </w:r>
          </w:p>
        </w:tc>
      </w:tr>
      <w:tr w:rsidR="00580A30" w:rsidRPr="00C42BF6" w14:paraId="7045A8EA" w14:textId="77777777" w:rsidTr="1FC84CC2">
        <w:trPr>
          <w:trHeight w:val="840"/>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60DA6E"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Pro-inflammatory Bacteria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A8A16D" w14:textId="40184F23" w:rsidR="277E52C9" w:rsidRPr="00C42BF6" w:rsidRDefault="2EBACE1F" w:rsidP="2EBACE1F">
            <w:pPr>
              <w:jc w:val="center"/>
              <w:rPr>
                <w:rFonts w:ascii="Arial" w:eastAsia="Arial" w:hAnsi="Arial" w:cs="Arial"/>
                <w:i/>
                <w:iCs/>
                <w:color w:val="000000"/>
              </w:rPr>
            </w:pPr>
            <w:r w:rsidRPr="00C42BF6">
              <w:rPr>
                <w:rFonts w:ascii="Arial" w:eastAsia="Arial" w:hAnsi="Arial" w:cs="Arial"/>
                <w:i/>
                <w:iCs/>
                <w:color w:val="000000"/>
              </w:rPr>
              <w:t>Escherichia coli | Fusobacterium nucleatum</w:t>
            </w:r>
            <w:r w:rsidR="008202CC"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{"citationID":"oqeCOQAr","properties":{"formattedCitation":"\\super 113\\uc0\\u8211{}116\\nosupersub{}","plainCitation":"113–116","noteIndex":0},"citationItems":[{"id":3129,"uris":["http://zotero.org/users/local/6BakpO76/items/FY92ASEB"],"itemData":{"id":3129,"type":"article-journal","abstract":"There is a growing level of interest in the potential role inflammation has on the initiation and progression of malignancy. Notable examples include Helicobacter pylori-mediated inflammation in gastric cancer and more recently Fusobacterium nucleatum-mediated inflammation in colorectal cancer. Fusobacterium nucleatum is a Gram-negative anaerobic bacterium that was first isolated from the oral cavity and identified as a periodontal pathogen. Biofilms on oral squamous cell carcinomas are enriched with anaerobic periodontal pathogens, including F. nucleatum, which has prompted hypotheses that this bacterium could contribute to oral cancer development. Recent studies have demonstrated that F. nucleatum can promote cancer by several mechanisms; activation of cell proliferation, promotion of cellular invasion, induction of chronic inflammation and immune evasion. This review provides an update on the association between F. nucleatum and oral carcinogenesis, and provides insights into the possible mechanisms underlying it.","container-title":"BMC cancer","DOI":"10.1186/s12885-021-08903-4","ISSN":"1471-2407","issue":"1","journalAbbreviation":"BMC Cancer","language":"eng","note":"PMID: 34774023\nPMCID: PMC8590362","page":"1212","source":"PubMed","title":"Fusobacterium nucleatum and oral cancer: a critical review","title-short":"Fusobacterium nucleatum and oral cancer","volume":"21","author":[{"family":"McIlvanna","given":"Emily"},{"family":"Linden","given":"Gerard J."},{"family":"Craig","given":"Stephanie G."},{"family":"Lundy","given":"Fionnuala T."},{"family":"James","given":"Jacqueline A."}],"issued":{"date-parts":[["2021",11,13]]}}},{"id":3126,"uris":["http://zotero.org/users/local/6BakpO76/items/W3I2AY7C"],"itemData":{"id":3126,"type":"article-journal","abstract":"Multiple studies have implicated microbes in the development of inflammation, but the mechanisms remain unknown. Bacteria in the genus Fusobacterium have been identified in the intestinal mucosa of patients with digestive diseases; thus, we hypothesized that Fusobacterium nucleatum promotes intestinal inflammation. The addition of &gt;50 kDa F. nucleatum conditioned media, which contain outer membrane vesicles (OMVs), to colonic epithelial cells stimulated secretion of the proinflammatory cytokines interleukin-8 (IL-8) and tumor necrosis factor (TNF). In addition, purified F. nucleatum OMVs, but not compounds &lt;50 kDa, stimulated IL-8 and TNF production; which was decreased by pharmacological inhibition of Toll-like receptor 4 (TLR4). These effects were linked to downstream effectors p-ERK, p-CREB, and NF-κB. F. nucleatum &gt;50-kDa compounds also stimulated TNF secretion, p-ERK, p-CREB, and NF-κB activation in human colonoid monolayers. In mice harboring a human microbiota, pretreatment with antibiotics and a single oral gavage of F. nucleatum resulted in inflammation. Compared to mice receiving vehicle control, mice treated with F. nucleatum showed disruption of the colonic architecture, with increased immune cell infiltration and depleted mucus layers. Analysis of mucosal gene expression revealed increased levels of proinflammatory cytokines (KC, TNF, IL-6, IFN-γ, and MCP-1) at day 3 and day 5 in F. nucleatum-treated mice compared to controls. These proinflammatory effects were absent in mice who received F. nucleatum without pretreatment with antibiotics, suggesting that an intact microbiome is protective against F. nucleatum-mediated immune responses. These data provide evidence that F. nucleatum promotes proinflammatory signaling cascades in the context of a depleted intestinal microbiome.IMPORTANCE Several studies have identified an increased abundance of Fusobacterium in the intestinal tracts of patients with colon cancer, liver cirrhosis, primary sclerosing cholangitis, gastroesophageal reflux disease, HIV infection, and alcoholism. However, the direct mechanism(s) of action of Fusobacterium on pathophysiological within the gastrointestinal tract is unclear. These studies have identified that F. nucleatum subsp. polymorphum releases outer membrane vesicles which activate TLR4 and NF-κB to stimulate proinflammatory signals in vitro Using mice harboring a human microbiome, we demonstrate that F. nucleatum can promote inflammation, an effect which required antibiotic-mediated alterations in the gut microbiome. Collectively, these results suggest a mechanism by which F. nucleatum may contribute to intestinal inflammation.","container-title":"mBio","DOI":"10.1128/mBio.02706-20","ISSN":"2150-7511","issue":"2","journalAbbreviation":"mBio","language":"eng","note":"PMID: 33653893\nPMCID: PMC8092269","page":"e02706-20","source":"PubMed","title":"Fusobacterium nucleatum Secretes Outer Membrane Vesicles and Promotes Intestinal Inflammation","volume":"12","author":[{"family":"Engevik","given":"Melinda A."},{"family":"Danhof","given":"Heather A."},{"family":"Ruan","given":"Wenly"},{"family":"Engevik","given":"Amy C."},{"family":"Chang-Graham","given":"Alexandra L."},{"family":"Engevik","given":"Kristen A."},{"family":"Shi","given":"Zhongcheng"},{"family":"Zhao","given":"Yanling"},{"family":"Brand","given":"Colleen K."},{"family":"Krystofiak","given":"Evan S."},{"family":"Venable","given":"Susan"},{"family":"Liu","given":"Xinli"},{"family":"Hirschi","given":"Kendal D."},{"family":"Hyser","given":"Joseph M."},{"family":"Spinler","given":"Jennifer K."},{"family":"Britton","given":"Robert A."},{"family":"Versalovic","given":"James"}],"issued":{"date-parts":[["2021",3,2]]}}},{"id":3124,"uris":["http://zotero.org/users/local/6BakpO76/items/BLEAZ4RY"],"itemData":{"id":3124,"type":"article-journal","abstract":"Fusobacterium nucleatum is an identified proinflammatory autochthonous bacterium implicated in human colorectal cancer. It is also abundantly found in patients suffering from chronic gut inflammation (inflammatory bowel disease), consequently contributing to the pathogenesis of colorectal cancer. Majority of the studies have reported that colorectal tumors/colorectal adenocarcinomas are highly enriched with F. nucleatum compared to noninvolved adjacent colonic tissue. During the course of multistep development of colorectal cancer, tumors have evolved many mechanisms to resist the antitumor immune response. One of such favorite ploy is providing access to pathogenic bacteria, especially F. nucleatum in the colorectal tumor microenvironment, wherein both (colorectal tumors and F. nucleatum) exert profound effect on each other, consequently attracting tumor-permissive myeloid-derived suppressor cells, suppressing cytotoxic CD8+ T cells and inhibiting NK cell-mediated cancer cell killing. In this review, we have primarily focused on how this bug modulates the immune response, consequently rendering the antitumor immune cells inactive.","container-title":"Tumour Biology: The Journal of the International Society for Oncodevelopmental Biology and Medicine","DOI":"10.1007/s13277-015-4724-0","ISSN":"1423-0380","issue":"3","journalAbbreviation":"Tumour Biol","language":"eng","note":"PMID: 26718210","page":"2805-2810","source":"PubMed","title":"Fusobacterium nucleatum, inflammation, and immunity: the fire within human gut","title-short":"Fusobacterium nucleatum, inflammation, and immunity","volume":"37","author":[{"family":"Bashir","given":"Arif"},{"family":"Miskeen","given":"Abid Yousuf"},{"family":"Hazari","given":"Younis Mohammad"},{"family":"Asrafuzzaman","given":"Syed"},{"family":"Fazili","given":"Khalid Majid"}],"issued":{"date-parts":[["2016",3]]}}},{"id":3121,"uris":["http://zotero.org/users/local/6BakpO76/items/C8QKSJW5"],"itemData":{"id":3121,"type":"article-journal","abstract":"Fusobacterium nucleatum is an anaerobic oral commensal and a periodontal pathogen associated with a wide spectrum of human diseases. This article reviews its implication in adverse pregnancy outcomes (chorioamnionitis, preterm birth, stillbirth, neonatal sepsis, preeclampsia), GI disorders (colorectal cancer, inflammatory bowel disease, appendicitis), cardiovascular disease, rheumatoid arthritis, respiratory tract infections, Lemierre's syndrome and Alzheimer's disease. The virulence mechanisms involved in the diseases are discussed, with emphasis on its colonization, systemic dissemination, and induction of host inflammatory and tumorigenic responses. The FadA adhesin/invasin conserved in F. nucleatum is a key virulence factor and a potential diagnostic marker for F. nucleatum-associated diseases.","container-title":"Current Opinion in Microbiology","DOI":"10.1016/j.mib.2014.11.013","ISSN":"1879-0364","journalAbbreviation":"Curr Opin Microbiol","language":"eng","note":"PMID: 25576662\nPMCID: PMC4323942","page":"141-147","source":"PubMed","title":"Fusobacterium nucleatum: a commensal-turned pathogen","title-short":"Fusobacterium nucleatum","volume":"23","author":[{"family":"Han","given":"Yiping W."}],"issued":{"date-parts":[["2015",2]]}}}],"schema":"https://github.com/citation-style-language/schema/raw/master/csl-citation.json"} </w:instrText>
            </w:r>
            <w:r w:rsidR="008202CC" w:rsidRPr="00C42BF6">
              <w:rPr>
                <w:rFonts w:ascii="Arial" w:eastAsia="Arial" w:hAnsi="Arial" w:cs="Arial"/>
                <w:i/>
                <w:iCs/>
                <w:color w:val="000000"/>
              </w:rPr>
              <w:fldChar w:fldCharType="separate"/>
            </w:r>
            <w:r w:rsidR="00F80CF1" w:rsidRPr="00F80CF1">
              <w:rPr>
                <w:rFonts w:ascii="Arial" w:hAnsi="Arial" w:cs="Arial"/>
                <w:color w:val="000000"/>
                <w:vertAlign w:val="superscript"/>
              </w:rPr>
              <w:t>113–116</w:t>
            </w:r>
            <w:r w:rsidR="008202CC" w:rsidRPr="00C42BF6">
              <w:rPr>
                <w:rFonts w:ascii="Arial" w:eastAsia="Arial" w:hAnsi="Arial" w:cs="Arial"/>
                <w:i/>
                <w:iCs/>
                <w:color w:val="000000"/>
              </w:rPr>
              <w:fldChar w:fldCharType="end"/>
            </w:r>
            <w:r w:rsidRPr="00C42BF6">
              <w:rPr>
                <w:rFonts w:ascii="Arial" w:eastAsia="Arial" w:hAnsi="Arial" w:cs="Arial"/>
                <w:i/>
                <w:iCs/>
                <w:color w:val="000000"/>
              </w:rPr>
              <w:t xml:space="preserve"> | Klebsiella pneumoniae</w:t>
            </w:r>
            <w:r w:rsidR="00872056"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{"citationID":"6iDLKcBX","properties":{"formattedCitation":"\\super 117\\uc0\\u8211{}120\\nosupersub{}","plainCitation":"117–120","noteIndex":0},"citationItems":[{"id":3105,"uris":["http://zotero.org/users/local/6BakpO76/items/Q8QJJKJN"],"itemData":{"id":3105,"type":"article-journal","abstract":"The gut microbiota is a complex community of microorganisms that inhabit the digestive tracts of humans, living in symbiosis with the host. Dysbiosis, characterized by an imbalance between the beneficial and opportunistic gut microbiota, is associated with several gastrointestinal disorders, such as irritable bowel syndrome (IBS); inflammatory bowel disease (IBD), represented by ulcerative colitis and Crohn's disease; and colorectal cancer (CRC). Dysbiosis can disrupt the mucosal barrier, resulting in perpetuation of inflammation and carcinogenesis. The increase in some specific groups of harmful bacteria, such as Escherichia coli (E. coli) and enterotoxigenic Bacteroides fragilis (ETBF), has been associated with chronic tissue inflammation and the release of pro-inflammatory and carcinogenic mediators, increasing the chance of developing CRC, following the inflammation-dysplasia-cancer sequence in IBD patients. Therefore, the aim of the present review was to analyze the correlation between changes in the gut microbiota and the development and maintenance of IBD, CRC, and IBD-associated CRC. Patients with IBD and CRC have shown reduced bacterial diversity and abundance compared to healthy individuals, with enrichment of Firmicute sand Bacteroidetes. Specific bacteria are also associated with the onset and progression of CRC, such as Fusobacterium nucleatum, E. coli, Enterococcus faecalis, Streptococcus gallolyticus, and ETBF. Future research can evaluate the advantages of modulating the gut microbiota as preventive measures in CRC high-risk patients, directly affecting the prognosis of the disease and the quality of life of patients.","container-title":"World Journal of Gastroenterology","DOI":"10.3748/wjg.v28.i30.4053","ISSN":"2219-2840","issue":"30","journalAbbreviation":"World J Gastroenterol","language":"eng","note":"PMID: 36157114\nPMCID: PMC9403435","page":"4053-4060","source":"PubMed","title":"Gut microbiota, inflammatory bowel disease and colorectal cancer","volume":"28","author":[{"family":"Quaglio","given":"Ana Elisa Valencise"},{"family":"Grillo","given":"Thais Gagno"},{"family":"De Oliveira","given":"Ellen Cristina Souza"},{"family":"Di Stasi","given":"Luiz Claudio"},{"family":"Sassaki","given":"Ligia Yukie"}],"issued":{"date-parts":[["2022",8,14]]}}},{"id":3141,"uris":["http://zotero.org/users/local/6BakpO76/items/96TGNGN8"],"itemData":{"id":3141,"type":"article-journal","abstract":"Klebsiella pneumoniae carbapenemases (KPCs) were originally identified in the USA in 1996. Since then, these versatile β-lactamases have spread internationally among Gram-negative bacteria, especially K pneumoniae, although their precise epidemiology is diverse across countries and regions. The mortality described among patients infected with organisms positive for KPC is high, perhaps as a result of the limited antibiotic options remaining (often colistin, tigecycline, or aminoglycosides). Triple drug combinations using colistin, tigecycline, and imipenem have recently been associated with improved survival among patients with bacteraemia. In this Review, we summarise the epidemiology of KPCs across continents, and discuss issues around detection, present antibiotic options and those in development, treatment outcome and mortality, and infection control. In view of the limitations of present treatments and the paucity of new drugs in the pipeline, infection control must be our primary defence for now.","container-title":"The Lancet. Infectious Diseases","DOI":"10.1016/S1473-3099(13)70190-7","ISSN":"1474-4457","issue":"9","journalAbbreviation":"Lancet Infect Dis","language":"eng","note":"PMID: 23969216\nPMCID: PMC4673667","page":"785-796","source":"PubMed","title":"Clinical epidemiology of the global expansion of Klebsiella pneumoniae carbapenemases","volume":"13","author":[{"family":"Munoz-Price","given":"L. Silvia"},{"family":"Poirel","given":"Laurent"},{"family":"Bonomo","given":"Robert A."},{"family":"Schwaber","given":"Mitchell J."},{"family":"Daikos","given":"George L."},{"family":"Cormican","given":"Martin"},{"family":"Cornaglia","given":"Giuseppe"},{"family":"Garau","given":"Javier"},{"family":"Gniadkowski","given":"Marek"},{"family":"Hayden","given":"Mary K."},{"family":"Kumarasamy","given":"Karthikeyan"},{"family":"Livermore","given":"David M."},{"family":"Maya","given":"Juan J."},{"family":"Nordmann","given":"Patrice"},{"family":"Patel","given":"Jean B."},{"family":"Paterson","given":"David L."},{"family":"Pitout","given":"Johann"},{"family":"Villegas","given":"Maria Virginia"},{"family":"Wang","given":"Hui"},{"family":"Woodford","given":"Neil"},{"family":"Quinn","given":"John P."}],"issued":{"date-parts":[["2013",9]]}}},{"id":3138,"uris":["http://zotero.org/users/local/6BakpO76/items/P5D257M4"],"itemData":{"id":3138,"type":"article-journal","abstract":"BACKGROUND: Currently, no single U.S. surveillance system can provide estimates of the burden of all types of health care-associated infections across acute care patient populations. We conducted a prevalence survey in 10 geographically diverse states to determine the prevalence of health care-associated infections in acute care hospitals and generate updated estimates of the national burden of such infections.\nMETHODS: We defined health care-associated infections with the use of National Healthcare Safety Network criteria. One-day surveys of randomly selected inpatients were performed in participating hospitals. Hospital personnel collected demographic and limited clinical data. Trained data collectors reviewed medical records retrospectively to identify health care-associated infections active at the time of the survey. Survey data and 2010 Nationwide Inpatient Sample data, stratified according to patient age and length of hospital stay, were used to estimate the total numbers of health care-associated infections and of inpatients with such infections in U.S. acute care hospitals in 2011.\nRESULTS: Surveys were conducted in 183 hospitals. Of 11,282 patients, 452 had 1 or more health care-associated infections (4.0%; 95% confidence interval, 3.7 to 4.4). Of 504 such infections, the most common types were pneumonia (21.8%), surgical-site infections (21.8%), and gastrointestinal infections (17.1%). Clostridium difficile was the most commonly reported pathogen (causing 12.1% of health care-associated infections). Device-associated infections (i.e., central-catheter-associated bloodstream infection, catheter-associated urinary tract infection, and ventilator-associated pneumonia), which have traditionally been the focus of programs to prevent health care-associated infections, accounted for 25.6% of such infections. We estimated that there were 648,000 patients with 721,800 health care-associated infections in U.S. acute care hospitals in 2011.\nCONCLUSIONS: Results of this multistate prevalence survey of health care-associated infections indicate that public health surveillance and prevention activities should continue to address C. difficile infections. As device- and procedure-associated infections decrease, consideration should be given to expanding surveillance and prevention activities to include other health care-associated infections.","container-title":"The New England Journal of Medicine","DOI":"10.1056/NEJMoa1306801","ISSN":"1533-4406","issue":"13","journalAbbreviation":"N Engl J Med","language":"eng","note":"PMID: 24670166\nPMCID: PMC4648343","page":"1198-1208","source":"PubMed","title":"Multistate point-prevalence survey of health care-associated infections","volume":"370","author":[{"family":"Magill","given":"Shelley S."},{"family":"Edwards","given":"Jonathan R."},{"family":"Bamberg","given":"Wendy"},{"family":"Beldavs","given":"Zintars G."},{"family":"Dumyati","given":"Ghinwa"},{"family":"Kainer","given":"Marion A."},{"family":"Lynfield","given":"Ruth"},{"family":"Maloney","given":"Meghan"},{"family":"McAllister-Hollod","given":"Laura"},{"family":"Nadle","given":"Joelle"},{"family":"Ray","given":"Susan M."},{"family":"Thompson","given":"Deborah L."},{"family":"Wilson","given":"Lucy E."},{"family":"Fridkin","given":"Scott K."},{"literal":"Emerging Infections Program Healthcare-Associated Infections and Antimicrobial Use Prevalence Survey Team"}],"issued":{"date-parts":[["2014",3,27]]}}},{"id":3135,"uris":["http://zotero.org/users/local/6BakpO76/items/3MBCM96H"],"itemData":{"id":3135,"type":"article-journal","abstract":"BACKGROUND &amp; AIMS: Klebsiella pneumoniae (KLP), a Gram-negative bacterium belonging to the family of Enterobacteriaceae, is a common cause of antimicrobial-resistant opportunistic infections in hospitalized patients. KLP can colonize in the human gastrointestinal tract, especially in patients with inflammatory bowel diseases. However, effects of KLP on the onset and development of inflammatory bowel disease remain unclear.\nMETHODS: We analyzed the relationship between Mayo indexes of ulcerative colitis and KLP using quantitative reverse-transcription polymerase chain reaction and endoscopy. Using caspase-1/11-/-, NLRP3-/-, NLRC4-/-, interleukin (IL)18-/-, and IL22-/- mice, we showed that KLP could induce colitis through caspase-11-mediated release of mature IL18. Through in vitro gut organoid culture, we determined the mechanism for KLP to induce colitis.\nRESULTS: We first found that there was a positive relationship between the Mayo indexes of ulcerative colitis and KLP. Then, we isolated a strain of KLP, named Klebsiella pneumoniae J (KLPJ), from the colon tissues of patients with colitis. This strain of bacteria could induce the production of mature IL18 in colon epithelial cells and gut organoids, and also induce colitis and promote dextran sodium sulfate-mediated colitis. Using caspase-1/11-/-, NLRP3-/-, NLRC4-/-, IL18-/-, and IL22-/- mice, we showed that KLPJ-mediated colitis occurred through activation of caspase-11, and was dependent on IL18 and partly on IL22. Our data also showed that lipopolysaccharide from KLPJ could bind with caspase-11 to induce mature IL18 in mouse and human colon organoids.\nCONCLUSIONS: KLPJ from the colon tissues of patients with ulcerative colitis can colonize the colon, activate caspase-11 inflammasomes, and contribute to intestinal inflammation.","container-title":"Cellular and Molecular Gastroenterology and Hepatology","DOI":"10.1016/j.jcmgh.2022.11.005","ISSN":"2352-345X","issue":"3","journalAbbreviation":"Cell Mol Gastroenterol Hepatol","language":"eng","note":"PMID: 36436756\nPMCID: PMC9871440","page":"613-632","source":"PubMed","title":"Klebsiella pneumoniae Induces Inflammatory Bowel Disease Through Caspase-11-Mediated IL18 in the Gut Epithelial Cells","volume":"15","author":[{"family":"Zhang","given":"Qianjin"},{"family":"Su","given":"Xiaomin"},{"family":"Zhang","given":"Chunze"},{"family":"Chen","given":"Wei"},{"family":"Wang","given":"Ya"},{"family":"Yang","given":"Xiaorong"},{"family":"Liu","given":"Dan"},{"family":"Zhang","given":"Yuan"},{"family":"Yang","given":"Rongcun"}],"issued":{"date-parts":[["2023"]]}}}],"schema":"https://github.com/citation-style-language/schema/raw/master/csl-citation.json"} </w:instrText>
            </w:r>
            <w:r w:rsidR="00872056" w:rsidRPr="00C42BF6">
              <w:rPr>
                <w:rFonts w:ascii="Arial" w:eastAsia="Arial" w:hAnsi="Arial" w:cs="Arial"/>
                <w:i/>
                <w:iCs/>
                <w:color w:val="000000"/>
              </w:rPr>
              <w:fldChar w:fldCharType="separate"/>
            </w:r>
            <w:r w:rsidR="00F80CF1" w:rsidRPr="00F80CF1">
              <w:rPr>
                <w:rFonts w:ascii="Arial" w:hAnsi="Arial" w:cs="Arial"/>
                <w:color w:val="000000"/>
                <w:vertAlign w:val="superscript"/>
              </w:rPr>
              <w:t>117–120</w:t>
            </w:r>
            <w:r w:rsidR="00872056" w:rsidRPr="00C42BF6">
              <w:rPr>
                <w:rFonts w:ascii="Arial" w:eastAsia="Arial" w:hAnsi="Arial" w:cs="Arial"/>
                <w:i/>
                <w:iCs/>
                <w:color w:val="000000"/>
              </w:rPr>
              <w:fldChar w:fldCharType="end"/>
            </w:r>
            <w:r w:rsidRPr="00C42BF6">
              <w:rPr>
                <w:rFonts w:ascii="Arial" w:eastAsia="Arial" w:hAnsi="Arial" w:cs="Arial"/>
                <w:i/>
                <w:iCs/>
                <w:color w:val="000000"/>
              </w:rPr>
              <w:t xml:space="preserve"> | Salmonella</w:t>
            </w:r>
            <w:r w:rsidR="00FA26EA"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{"citationID":"6YQDNVkK","properties":{"formattedCitation":"\\super 121\\uc0\\u8211{}123\\nosupersub{}","plainCitation":"121–123","noteIndex":0},"citationItems":[{"id":3149,"uris":["http://zotero.org/users/local/6BakpO76/items/Y5BLMPCV"],"itemData":{"id":3149,"type":"article-journal","abstract":"Human gut commensals are increasingly suggested to impact non-communicable diseases, such as inflammatory bowel diseases (IBD), yet their targeted suppression remains a daunting unmet challenge. In four geographically distinct IBD cohorts (n = 537), we identify a clade of Klebsiella pneumoniae (Kp) strains, featuring a unique antibiotics resistance and mobilome signature, to be strongly associated with disease exacerbation and severity. Transfer of clinical IBD-associated Kp strains into colitis-prone, germ-free, and colonized mice enhances intestinal inflammation. Stepwise generation of a lytic five-phage combination, targeting sensitive and resistant IBD-associated Kp clade members through distinct mechanisms, enables effective Kp suppression in colitis-prone mice, driving an attenuated inflammation and disease severity. Proof-of-concept assessment of Kp-targeting phages in an artificial human gut and in healthy volunteers demonstrates gastric acid-dependent phage resilience, safety, and viability in the lower gut. Collectively, we demonstrate the feasibility of orally administered combination phage therapy in avoiding resistance, while effectively inhibiting non-communicable disease-contributing pathobionts.","container-title":"Cell","DOI":"10.1016/j.cell.2022.07.003","ISSN":"1097-4172","issue":"16","journalAbbreviation":"Cell","language":"eng","note":"PMID: 35931020","page":"2879-2898.e24","source":"PubMed","title":"Targeted suppression of human IBD-associated gut microbiota commensals by phage consortia for treatment of intestinal inflammation","volume":"185","author":[{"family":"Federici","given":"Sara"},{"family":"Kredo-Russo","given":"Sharon"},{"family":"Valdés-Mas","given":"Rafael"},{"family":"Kviatcovsky","given":"Denise"},{"family":"Weinstock","given":"Eyal"},{"family":"Matiuhin","given":"Yulia"},{"family":"Silberberg","given":"Yael"},{"family":"Atarashi","given":"Koji"},{"family":"Furuichi","given":"Munehiro"},{"family":"Oka","given":"Akihiko"},{"family":"Liu","given":"Bo"},{"family":"Fibelman","given":"Morine"},{"family":"Weiner","given":"Iddo Nadav"},{"family":"Khabra","given":"Efrat"},{"family":"Cullin","given":"Nyssa"},{"family":"Ben-Yishai","given":"Noa"},{"family":"Inbar","given":"Dana"},{"family":"Ben-David","given":"Hava"},{"family":"Nicenboim","given":"Julian"},{"family":"Kowalsman","given":"Noga"},{"family":"Lieb","given":"Wolfgang"},{"family":"Kario","given":"Edith"},{"family":"Cohen","given":"Tal"},{"family":"Geffen","given":"Yael Friedman"},{"family":"Zelcbuch","given":"Lior"},{"family":"Cohen","given":"Ariel"},{"family":"Rappo","given":"Urania"},{"family":"Gahali-Sass","given":"Inbar"},{"family":"Golembo","given":"Myriam"},{"family":"Lev","given":"Vered"},{"family":"Dori-Bachash","given":"Mally"},{"family":"Shapiro","given":"Hagit"},{"family":"Moresi","given":"Claudia"},{"family":"Cuevas-Sierra","given":"Amanda"},{"family":"Mohapatra","given":"Gayatree"},{"family":"Kern","given":"Lara"},{"family":"Zheng","given":"Danping"},{"family":"Nobs","given":"Samuel Philip"},{"family":"Suez","given":"Jotham"},{"family":"Stettner","given":"Noa"},{"family":"Harmelin","given":"Alon"},{"family":"Zak","given":"Naomi"},{"family":"Puttagunta","given":"Sailaja"},{"family":"Bassan","given":"Merav"},{"family":"Honda","given":"Kenya"},{"family":"Sokol","given":"Harry"},{"family":"Bang","given":"Corinna"},{"family":"Franke","given":"Andre"},{"family":"Schramm","given":"Christoph"},{"family":"Maharshak","given":"Nitsan"},{"family":"Sartor","given":"Ryan Balfour"},{"family":"Sorek","given":"Rotem"},{"family":"Elinav","given":"Eran"}],"issued":{"date-parts":[["2022",8,4]]}}},{"id":3146,"uris":["http://zotero.org/users/local/6BakpO76/items/LWRWI9GQ"],"itemData":{"id":3146,"type":"article-journal","abstract":"Microbiota represents the entire microbial community present in the gut host. It serves several functions establishing a mutualistic relation with the host. Latest years have seen a burst in the number of studies focusing on this topic, in particular on intestinal diseases. In this scenario, Proteobacteria are one of the most abundant phyla, comprising several known human pathogens. This review highlights the latest findings on the role of Proteobacteria not only in intestinal but also in extraintestinal diseases. Indeed, an increasing amount of data identifies Proteobacteria as a possible microbial signature of disease. Several studies demonstrate an increased abundance of members belonging to this phylum in such conditions. Major evidences currently involve metabolic disorders and inflammatory bowel disease. However, more recent studies suggest a role also in lung diseases, such as asthma and chronic obstructive pulmonary disease, but evidences are still scant. Notably, all these conditions are sustained by various degree of inflammation, which thus represents a core aspect of Proteobacteria-related diseases.","container-title":"BioMed Research International","DOI":"10.1155/2017/9351507","ISSN":"2314-6141","journalAbbreviation":"Biomed Res Int","language":"eng","note":"PMID: 29230419\nPMCID: PMC5688358","page":"9351507","source":"PubMed","title":"Proteobacteria: A Common Factor in Human Diseases","title-short":"Proteobacteria","volume":"2017","author":[{"family":"Rizzatti","given":"G."},{"family":"Lopetuso","given":"L. R."},{"family":"Gibiino","given":"G."},{"family":"Binda","given":"C."},{"family":"Gasbarrini","given":"A."}],"issued":{"date-parts":[["2017"]]}}},{"id":3144,"uris":["http://zotero.org/users/local/6BakpO76/items/5DTXKIHA"],"itemData":{"id":3144,"type":"article-journal","abstract":"Recent advances in sequencing techniques, applied to the study of microbial communities, have provided compelling evidence that the mammalian intestinal tract harbors a complex microbial community whose composition is a critical determinant of host health in the context of metabolism and inflammation. Given that an imbalanced gut microbiota often arises from a sustained increase in abundance of the phylum Proteobacteria, the natural human gut flora normally contains only a minor proportion of this phylum. Here, we review studies that explored the association between an abnormal expansion of Proteobacteria and a compromised ability to maintain a balanced gut microbial community. We also propose that an increased prevalence of Proteobacteria is a potential diagnostic signature of dysbiosis and risk of disease.","container-title":"Trends in Biotechnology","DOI":"10.1016/j.tibtech.2015.06.011","ISSN":"1879-3096","issue":"9","journalAbbreviation":"Trends Biotechnol","language":"eng","note":"PMID: 26210164","page":"496-503","source":"PubMed","title":"Proteobacteria: microbial signature of dysbiosis in gut microbiota","title-short":"Proteobacteria","volume":"33","author":[{"family":"Shin","given":"Na-Ri"},{"family":"Whon","given":"Tae Woong"},{"family":"Bae","given":"Jin-Woo"}],"issued":{"date-parts":[["2015",9]]}}}],"schema":"https://github.com/citation-style-language/schema/raw/master/csl-citation.json"} </w:instrText>
            </w:r>
            <w:r w:rsidR="00FA26EA" w:rsidRPr="00C42BF6">
              <w:rPr>
                <w:rFonts w:ascii="Arial" w:eastAsia="Arial" w:hAnsi="Arial" w:cs="Arial"/>
                <w:i/>
                <w:iCs/>
                <w:color w:val="000000"/>
              </w:rPr>
              <w:fldChar w:fldCharType="separate"/>
            </w:r>
            <w:r w:rsidR="00F80CF1" w:rsidRPr="00F80CF1">
              <w:rPr>
                <w:rFonts w:ascii="Arial" w:hAnsi="Arial" w:cs="Arial"/>
                <w:color w:val="000000"/>
                <w:vertAlign w:val="superscript"/>
              </w:rPr>
              <w:t>121–123</w:t>
            </w:r>
            <w:r w:rsidR="00FA26EA" w:rsidRPr="00C42BF6">
              <w:rPr>
                <w:rFonts w:ascii="Arial" w:eastAsia="Arial" w:hAnsi="Arial" w:cs="Arial"/>
                <w:i/>
                <w:iCs/>
                <w:color w:val="000000"/>
              </w:rPr>
              <w:fldChar w:fldCharType="end"/>
            </w:r>
            <w:r w:rsidRPr="00C42BF6">
              <w:rPr>
                <w:rFonts w:ascii="Arial" w:eastAsia="Arial" w:hAnsi="Arial" w:cs="Arial"/>
                <w:i/>
                <w:iCs/>
                <w:color w:val="000000"/>
              </w:rPr>
              <w:t xml:space="preserve"> | Helicobacter pylori</w:t>
            </w:r>
            <w:r w:rsidR="00AC176A"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{"citationID":"pB7lzgEz","properties":{"formattedCitation":"\\super 124\\uc0\\u8211{}127\\nosupersub{}","plainCitation":"124–127","noteIndex":0},"citationItems":[{"id":3158,"uris":["http://zotero.org/users/local/6BakpO76/items/XAAPW6LR"],"itemData":{"id":3158,"type":"article-journal","abstract":"The tight control of the innate and adaptive immune responses in the stomach mucosa during chronic Helicobacter pylori infection is of prime importance for the bacteria to persist and for the host to prevent inflammation-driven diseases. This review summarizes recent data on the roles of innate and adaptive immune responses during H. pylori/host interactions. In addition, the latest preclinical developments of H. pylori vaccines are discussed with a special focus on the clinical trial reported by Zeng et al., who provided evidence that oral vaccination significantly reduces the acquisition of natural H. pylori infection in children.","container-title":"Helicobacter","DOI":"10.1111/hel.12336","ISSN":"1523-5378","journalAbbreviation":"Helicobacter","language":"eng","note":"PMID: 27531535","page":"26-29","source":"PubMed","title":"Inflammation, immunity, and vaccines for Helicobacter pylori infection","volume":"21 Suppl 1","author":[{"family":"Velin","given":"Dominique"},{"family":"Straubinger","given":"Kathrin"},{"family":"Gerhard","given":"Markus"}],"issued":{"date-parts":[["2016",9]]}}},{"id":3156,"uris":["http://zotero.org/users/local/6BakpO76/items/9KHLMFAS"],"itemData":{"id":3156,"type":"article-journal","abstract":"BACKGROUND: Observational studies have shown that Helicobacter pylori (H. pylori) infection and H. pylori antibodies are associated with an increased risk of stroke. However, which and how H. pylori antibodies serve as the causal determinant of the development of stroke remains largely unknown.\nMETHODS: Genome-wide association studies (GWAS) on seven different antibodies of H. pylori-specific proteins, stroke, and stroke subtypes were included in this study. Mendelian randomization (MR) and multivariable MR (MVMR) analysis were performed to assess the causal associations between H. pylori antibodies and the development of stroke and to determine the potential mechanisms underlying the associations.\nRESULTS: Genetically predicted serum H. pylori vacuolating cytotoxin-A (VacA) antibody level was associated with an increased risk of all-cause stroke (odds ratio [OR] = 1.04, 95% CI 1.01-1.07, P = 0.017) and cardioembolic stroke (CES, OR = 1.11, 95% CI 1.04-1.18, P = 0.001). The results of multivariable MR (MVMR) showed that C-reactive protein (CRP), but not monocyte chemoattractant protein-1 and peptic ulcer, mediated the causal effects of VacA-positive H. pylori infection on all-cause stroke and CES. No strong causal associations were found between other H. pylori antibodies and stroke and its subtypes.\nCONCLUSIONS: Our results demonstrate that H. pylori VacA antibody is the only causal determinant associated with the risk of stroke in the spectrum of H. pylori-related antibodies, in which CRP may mediate the association. This study suggests that inhibition of the CRP signaling pathway may reduce the risk of stroke in patients with VacA-positive H. pylori infection.","container-title":"Inflammation Research: Official Journal of the European Histamine Research Society ... [et Al.]","DOI":"10.1007/s00011-023-01740-0","ISSN":"1420-908X","issue":"6","journalAbbreviation":"Inflamm Res","language":"eng","note":"PMID: 37184658","page":"1193-1202","source":"PubMed","title":"Causal associations of circulating Helicobacter pylori antibodies with stroke and the mediating role of inflammation","volume":"72","author":[{"family":"Guo","given":"Xingzhi"},{"family":"Tang","given":"Peng"},{"family":"Zhang","given":"Xin"},{"family":"Li","given":"Rui"}],"issued":{"date-parts":[["2023",6]]}}},{"id":3154,"uris":["http://zotero.org/users/local/6BakpO76/items/9E5R7BKJ"],"itemData":{"id":3154,"type":"article-journal","abstract":"Helicobacter pylori is a spiral-shaped, flagellated, microaerophilic Gram-negative bacillus which colonizes the gastric mucosa of more than 50% of human population. The chronic infection generates a state of inflammation, which however is asymptomatic in the majority of the subjects. Nevertheless, in a subset of the H. pylori-infected population, the gastric inflammation may evolve toward chronic gastritis, peptic ulcer, gastric mucosa-associated lymphoid tissue (MALT) lymphoma, and gastric cancer. In brief, the stages of the H. pylori colonization are the following: crossing of the gastric mucus layer, adhesion to the gastric epithelium, and then obtaining nutrients while avoiding to be defeated by the host immune response. For some H. pylori colonization/virulence factors a specific role has been suggested in the development of the inflammation and in the impact on the host immune system. On the other hand, some host's factors have been found relevant in originating chronic gastric inflammation and the subsequent pathological outcome in the presence of H. pylori infection. In other words, both bacterial action and host response contribute to the pathogenesis. The host-pathogen co-adaptation resulted in a H. pylori colonization that in most of the cases might remain harmless; however, the concomitance of particular genotypes of both pathogen and host may concur to the development of severe pathology. Although a large body of clinical and experimental observations have been provided since the discovery of H. pylori, a further knowledge of the mechanisms of host-pathogen interaction and of those that lead to achieve protective immunity against this pathogen is still necessary to guide and make efficacious the fight against H. pylori.","container-title":"Current Pharmaceutical Design","DOI":"10.2174/138161210794519075","ISSN":"1873-4286","issue":"38","journalAbbreviation":"Curr Pharm Des","language":"eng","note":"PMID: 21184659","page":"4225-4236","source":"PubMed","title":"Helicobacter pylori and inflammation","volume":"16","author":[{"family":"Ruggiero","given":"Paolo"}],"issued":{"date-parts":[["2010"]]}}},{"id":3152,"uris":["http://zotero.org/users/local/6BakpO76/items/IHXT8D5H"],"itemData":{"id":3152,"type":"article-journal","abstract":"Helicobacter pylori (H. pylori) represents one of the most widespread bacterial infections globally. Infection causes chronic gastritis and increases the risk of peptic ulcer disease, gastric adenocarcinoma, and mucosa-associated lymphoid tissue lymphoma. The pioneering discovery of H. pylori by Marshall and Warren in the early 1980s has initiated fervent research into H. pylori as a pathogen ever since. This chapter aims to provide an overview of our understanding of H. pylori infection and its management, with a focus on current options for diagnosis, the challenges associated with H. pylori eradication, and the need for alternative therapeutic strategies based on furthering our understanding of host: H. pylori interactions.","container-title":"Methods in Molecular Biology (Clifton, N.J.)","DOI":"10.1007/978-1-0716-1302-3_1","ISSN":"1940-6029","journalAbbreviation":"Methods Mol Biol","language":"eng","note":"PMID: 33765303","page":"1-14","source":"PubMed","title":"An Overview of Helicobacter pylori Infection","volume":"2283","author":[{"family":"FitzGerald","given":"Rebecca"},{"family":"Smith","given":"Sinéad M."}],"issued":{"date-parts":[["2021"]]}}}],"schema":"https://github.com/citation-style-language/schema/raw/master/csl-citation.json"} </w:instrText>
            </w:r>
            <w:r w:rsidR="00AC176A" w:rsidRPr="00C42BF6">
              <w:rPr>
                <w:rFonts w:ascii="Arial" w:eastAsia="Arial" w:hAnsi="Arial" w:cs="Arial"/>
                <w:i/>
                <w:iCs/>
                <w:color w:val="000000"/>
              </w:rPr>
              <w:fldChar w:fldCharType="separate"/>
            </w:r>
            <w:r w:rsidR="00F80CF1" w:rsidRPr="00F80CF1">
              <w:rPr>
                <w:rFonts w:ascii="Arial" w:hAnsi="Arial" w:cs="Arial"/>
                <w:color w:val="000000"/>
                <w:vertAlign w:val="superscript"/>
              </w:rPr>
              <w:t>124–127</w:t>
            </w:r>
            <w:r w:rsidR="00AC176A" w:rsidRPr="00C42BF6">
              <w:rPr>
                <w:rFonts w:ascii="Arial" w:eastAsia="Arial" w:hAnsi="Arial" w:cs="Arial"/>
                <w:i/>
                <w:iCs/>
                <w:color w:val="000000"/>
              </w:rPr>
              <w:fldChar w:fldCharType="end"/>
            </w:r>
            <w:r w:rsidRPr="00C42BF6">
              <w:rPr>
                <w:rFonts w:ascii="Arial" w:eastAsia="Arial" w:hAnsi="Arial" w:cs="Arial"/>
                <w:i/>
                <w:iCs/>
                <w:color w:val="000000"/>
              </w:rPr>
              <w:t xml:space="preserve"> | Enterococcus faecalis</w:t>
            </w:r>
            <w:r w:rsidR="00536B3C"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{"citationID":"dRptWqVk","properties":{"formattedCitation":"\\super 128\\uc0\\u8211{}130\\nosupersub{}","plainCitation":"128–130","noteIndex":0},"citationItems":[{"id":3166,"uris":["http://zotero.org/users/local/6BakpO76/items/V3TQCEUS"],"itemData":{"id":3166,"type":"article-journal","abstract":"The aim of this study was to investigate how carbohydrates (glucose or sucrose) affect the characteristics of Enterococcus faecalis (E. faecalis) planktonic and biofilm in vitro. For this study, E. faecalis was cultured in tryptone-yeast extract broth with 0% glucose + 0% sucrose, 0.5% glucose, 1% glucose, 0.5% sucrose, or 1% sucrose. Viability of E. faecalis was examined by colony forming unit counting assays. Biofilm formation was assessed by measuring extracellular DNA (eDNA), a component of the biofilm matrix. Quantitative real-time PCR (qRT-PCR) was performed to investigate the expression of virulence-associated genes. Field emission scanning electron microscopy analysis, confocal laser scanning microscopy analysis, and crystal violet colorimetric assay were conducted to study E. faecalis biofilms. E. faecalis showed the highest viability and eDNA levels in 1% sucrose medium in biofilms. The result of qRT-PCR showed that the virulence-associated genes expressed highest in 1% sucrose-grown biofilms and in 1% glucose-grown planktonic cultures. E. faecalis showed highly aggregated biofilms and higher bacteria and exopolysaccharide (EPS) bio-volume in sucrose than in 0% glucose + 0% sucrose or glucose. The results indicate that the production of eDNA and EPS and expression of virulence-associated genes in E. faecalis are affected by the concentration of carbohydrates in biofilm or planktonic culture.","container-title":"Scientific Reports","DOI":"10.1038/s41598-020-78998-5","ISSN":"2045-2322","issue":"1","journalAbbreviation":"Sci Rep","language":"eng","note":"PMID: 33318537\nPMCID: PMC7736865","page":"21867","source":"PubMed","title":"Characterization of Enterococcus faecalis in different culture conditions","volume":"10","author":[{"family":"Kim","given":"Mi-Ah"},{"family":"Rosa","given":"Vinicius"},{"family":"Min","given":"Kyung-San"}],"issued":{"date-parts":[["2020",12,14]]}}},{"id":3163,"uris":["http://zotero.org/users/local/6BakpO76/items/XKTRCUMT"],"itemData":{"id":3163,"type":"chapter","abstract":"During the past few decades, enterococci have emerged as important healthcare-associated pathogens (Arias &amp; Murray, 2012; Austin, Bonten, Weinstein, Slaughter, &amp; Anderson, 1999; Boyce, et al., 1994; Benenson, et al., 2009; Goossens, 1998; Handwerger, et al., 1993). The continuing progress of modern medical care toward more intensive and invasive medical therapies for human disease has undoubtedly contributed to the increased prevalence of these remarkable opportunistic pathogens. This trend has also been attributed to the increasing antibiotic resistance among clinical isolates of enterococci. The rapid spread of enterococci with resistance to vancomycin (VRE) has been of particular concern. Many healthcare-associated strains that are resistant to vancomycin also show resistance to penicillin, as well as high-level resistance (HLR) to aminoglycosides. Finally, as has historically been the case with enterococci, resistance is emerging to newer agents used to treat VRE infections, such as linezolid, quinupristin/dalfopristin, and daptomycin (Chow, Donahedian, &amp; Zervos, 1997; Herrero, Issa, &amp; Patel, 2002; Sabol, Patterson, Lewis II, Aaron, Cadena, &amp; Jorgensen, 2005). Over the past two decades, Enterococcus faecium has emerged as a leading cause of multidrug-resistant enterococcal infection in the United States (Hidron, et al., 2008). E. faecium is intrinsically more antibiotic-resistant than E. faecalis, with more than half of its pathogenic isolates expressing resistance to vancomycin, ampicillin, and high-levels of aminoglycosides. Treating infections caused by this species can be difficult, and the magnitude of the problem is vast. Approximately 40% of medical intensive care units in a recent National Healthcare Safety Network report found that the majority of device-associated infections (namely, infections due to central lines, urinary drainage catheters, and ventilators) were due to vancomycin- and ampicillin-resistant E. faecium (80% and 90.4%, respectively) (Hidron, et al., 2008). Although they were often resistant to high-level aminoglycosides and some macrolides, healthcare-associated infections in these units due to E. faecalis remained largely susceptible to vancomycin and ampicillin (93.1% and 96.2%, respectively) for reasons that are not entirely known. Other enterococcal species are rarer causes of human infection, including E. durans, E. avium, E. casseliflavus, E. hirae, E. gallinarum, E. raffinosus, and E. muntdii (Gordon, et al., 1992). In the following sections, the common human infections caused by enterococci are briefly described. The epidemiology of antibiotic-resistant enterococci in healthcare settings is summarized, including the role of colonization pressure and host factors on the emergence of VRE in clinical settings. Finally, the current challenges facing clinicians who treat antibiotic-resistant enterococcal infections are reviewed.","call-number":"NBK190429","container-title":"Enterococci: From Commensals to Leading Causes of Drug Resistant Infection","event-place":"Boston","language":"eng","note":"PMID: 24649504","publisher":"Massachusetts Eye and Ear Infirmary","publisher-place":"Boston","source":"PubMed","title":"Enterococcal Disease, Epidemiology, and Implications for Treatment","URL":"http://www.ncbi.nlm.nih.gov/books/NBK190429/","author":[{"family":"Agudelo Higuita","given":"Nelson I."},{"family":"Huycke","given":"Mark M."}],"editor":[{"family":"Gilmore","given":"Michael S."},{"family":"Clewell","given":"Don B."},{"family":"Ike","given":"Yasuyoshi"},{"family":"Shankar","given":"Nathan"}],"accessed":{"date-parts":[["2023",10,24]]},"issued":{"date-parts":[["2014"]]}}},{"id":3160,"uris":["http://zotero.org/users/local/6BakpO76/items/CHHUJ2G2"],"itemData":{"id":3160,"type":"article-journal","abstract":"This study was to investigate the changes in gut microbiota in maintenance hemodialysis patients and analyze their impact on patient's microinflammation status. For this purpose, thirty-nine chronic kidney disease (CKD) maintenance hemodialysis patients admitted to our hospital from March 2019 to March 2022 were selected as the experimental group, and 40 healthy individuals with examination results during the same period were selected as the control group. The levels of gut microbiota (Lactobacillus, Bifidobacterium, Escherichia coli, and Enterococcus faecalis) and microinflammation indicators [interleukin-6 (IL-6), tumor necrosis factor α (TNF-α), and high-sensitivity C-reactive protein (hs-CRP)] were measured in both groups. The relationship between changes in gut microbiota and microinflammation in maintenance hemodialysis CKD patients was analyzed. Results showed that the levels of Lactobacillus and Bifidobacterium in the experimental group were significantly lower than those in the control group (all, P&lt;0.05), while the levels of Escherichia coli and Enterococcus faecalis in the experimental group were significantly higher than those in the control group (all, P&lt;0.05). The IL-6, TNF-α, and hs-CRP levels in the experimental group were significantly higher than those in the control group (all, P&lt;0.05). Using microinflammation indicators as dependent variables and microbiota indicators as independent variables for stepwise regression analysis, the results showed that the levels of Lactobacillus were negatively correlated with IL-6 and TNF-α levels in patients (r=-0.358, -0.942, P&lt;0.05); the levels of Bifidobacterium were negatively correlated with IL-6, TNF-α, and hs-CRP levels in patients (r=-0.394, -0.211, -0.547, P&lt;0.05); the levels of Escherichia coli were positively correlated with IL-6 and TNF-α levels in patients (r=0.221, 0.268, P&lt;0.05); the levels of Enterococcus faecalis were positively correlated with IL-6 and hs-CRP levels in patients (r=0.253, 0.378, P&lt;0.05). In conclusion, patients with maintenance hemodialysis for CKD commonly exhibit gut microbiota dysbiosis and varying degrees of low-grade inflammation. Compared to healthy individuals, maintenance hemodialysis patients with CKD have lower levels of Bifidobacterium and Lactobacillus and higher levels of Escherichia coli and Enterococcus in their gut. Bifidobacterium, Lactobacillus, Escherichia coli, and Enterococcus all have a certain impact on the low-grade inflammation status of patients with maintenance hemodialysis for CKD.","container-title":"Cellular and Molecular Biology (Noisy-Le-Grand, France)","DOI":"10.14715/cmb/2023.69.8.15","ISSN":"1165-158X","issue":"8","journalAbbreviation":"Cell Mol Biol (Noisy-le-grand)","language":"eng","note":"PMID: 37715414","page":"96-101","source":"PubMed","title":"Changes of Gut Microbiota in Maintenance Hemodialysis Patients and Their Impact on Patient's Microinflammation Status","volume":"69","author":[{"family":"Zhang","given":"Xiaopan"},{"family":"Wang","given":"Yilin"},{"family":"Yin","given":"Ying"},{"family":"Sun","given":"Bo"},{"family":"Chen","given":"Guangren"},{"family":"Chen","given":"Fengling"}],"issued":{"date-parts":[["2023",8,31]]}}}],"schema":"https://github.com/citation-style-language/schema/raw/master/csl-citation.json"} </w:instrText>
            </w:r>
            <w:r w:rsidR="00536B3C" w:rsidRPr="00C42BF6">
              <w:rPr>
                <w:rFonts w:ascii="Arial" w:eastAsia="Arial" w:hAnsi="Arial" w:cs="Arial"/>
                <w:i/>
                <w:iCs/>
                <w:color w:val="000000"/>
              </w:rPr>
              <w:fldChar w:fldCharType="separate"/>
            </w:r>
            <w:r w:rsidR="00F80CF1" w:rsidRPr="00F80CF1">
              <w:rPr>
                <w:rFonts w:ascii="Arial" w:hAnsi="Arial" w:cs="Arial"/>
                <w:color w:val="000000"/>
                <w:vertAlign w:val="superscript"/>
              </w:rPr>
              <w:t>128–130</w:t>
            </w:r>
            <w:r w:rsidR="00536B3C" w:rsidRPr="00C42BF6">
              <w:rPr>
                <w:rFonts w:ascii="Arial" w:eastAsia="Arial" w:hAnsi="Arial" w:cs="Arial"/>
                <w:i/>
                <w:iCs/>
                <w:color w:val="000000"/>
              </w:rPr>
              <w:fldChar w:fldCharType="end"/>
            </w:r>
            <w:r w:rsidRPr="00C42BF6">
              <w:rPr>
                <w:rFonts w:ascii="Arial" w:eastAsia="Arial" w:hAnsi="Arial" w:cs="Arial"/>
                <w:i/>
                <w:iCs/>
                <w:color w:val="000000"/>
              </w:rPr>
              <w:t xml:space="preserve"> | Clostridium difficile</w:t>
            </w:r>
            <w:r w:rsidR="00BC1756"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{"citationID":"lOEnKHut","properties":{"formattedCitation":"\\super 131\\uc0\\u8211{}133\\nosupersub{}","plainCitation":"131–133","noteIndex":0},"citationItems":[{"id":3175,"uris":["http://zotero.org/users/local/6BakpO76/items/YC4IY7TL"],"itemData":{"id":3175,"type":"article-journal","abstract":"Infection of the colon with the Gram-positive bacterium Clostridium difficile is potentially life threatening, especially in elderly people and in patients who have dysbiosis of the gut microbiota following antimicrobial drug exposure. C. difficile is the leading cause of health-care-associated infective diarrhoea. The life cycle of C. difficile is influenced by antimicrobial agents, the host immune system, and the host microbiota and its associated metabolites. The primary mediators of inflammation in C. difficile infection (CDI) are large clostridial toxins, toxin A (TcdA) and toxin B (TcdB), and, in some bacterial strains, the binary toxin CDT. The toxins trigger a complex cascade of host cellular responses to cause diarrhoea, inflammation and tissue necrosis - the major symptoms of CDI. The factors responsible for the epidemic of some C. difficile strains are poorly understood. Recurrent infections are common and can be debilitating. Toxin detection for diagnosis is important for accurate epidemiological study, and for optimal management and prevention strategies. Infections are commonly treated with specific antimicrobial agents, but faecal microbiota transplants have shown promise for recurrent infections. Future biotherapies for C. difficile infections are likely to involve defined combinations of key gut microbiota.","container-title":"Nature Reviews. Disease Primers","DOI":"10.1038/nrdp.2016.20","ISSN":"2056-676X","journalAbbreviation":"Nat Rev Dis Primers","language":"eng","note":"PMID: 27158839\nPMCID: PMC5453186","page":"16020","source":"PubMed","title":"Clostridium difficile infection","volume":"2","author":[{"family":"Smits","given":"Wiep Klaas"},{"family":"Lyras","given":"Dena"},{"family":"Lacy","given":"D. Borden"},{"family":"Wilcox","given":"Mark H."},{"family":"Kuijper","given":"Ed J."}],"issued":{"date-parts":[["2016",4,7]]}}},{"id":3171,"uris":["http://zotero.org/users/local/6BakpO76/items/K9CZ3XXG"],"itemData":{"id":3171,"type":"article-journal","abstract":"Clostridium difficile is a major cause of intestinal infection and diarrhoea in individuals following antibiotic treatment. Recent studies have begun to elucidate the mechanisms that induce spore formation and germination and have determined the roles of C. difficile toxins in disease pathogenesis. Exciting progress has also been made in defining the role of the microbiome, specific commensal bacterial species and host immunity in defence against infection with C. difficile. This Review will summarize the recent discoveries and developments in our understanding of C. difficile infection and pathogenesis.","container-title":"Nature Reviews. Microbiology","DOI":"10.1038/nrmicro.2016.108","ISSN":"1740-1534","issue":"10","journalAbbreviation":"Nat Rev Microbiol","language":"eng","note":"PMID: 27573580\nPMCID: PMC5109054","page":"609-620","source":"PubMed","title":"Clostridium difficile colitis: pathogenesis and host defence","title-short":"Clostridium difficile colitis","volume":"14","author":[{"family":"Abt","given":"Michael C."},{"family":"McKenney","given":"Peter T."},{"family":"Pamer","given":"Eric G."}],"issued":{"date-parts":[["2016",10]]}}},{"id":3169,"uris":["http://zotero.org/users/local/6BakpO76/items/7996FGQC"],"itemData":{"id":3169,"type":"article-journal","abstract":"Inflammatory bowel disease (IBD) is characterized by chronic intestinal inflammation that includes Crohn´s disease (CD) and ulcerative colitis (UC). Although the etiology is still unknown, some specific factors have been directly related to IBD, including genetic factors, abnormal intestinal immunity, and/or gut microbiota modifications. Recent findings highlight the primary role of the gut microbiota closely associated with a persistent inappropriate inflammatory response. This gut environment of dysbiosis in a susceptible IBD host can increasingly worsen and lead to colonization and infection with some opportunistic pathogens, especially Clostridium difficile. C. difficile is an intestinal pathogen considered the main cause of antibiotic-associated diarrhea and colitis and an important complication of IBD, which can trigger or worsen an IBD flare. Recent findings have highlighted the loss of bacterial cooperation in the gut ecosystem, as well as the pronounced intestinal dysbiosis, in patients suffering from IBD and concomitant C. difficile infection (CDI). The results of intestinal microbiota studies are still limited and often difficult to compare because of the variety of disease conditions. However, these data provide important clues regarding the main modifications and interrelations in the complicated gut ecosystem to better understand both diseases and to take advantage of the development of new therapeutic strategies. In this review, we analyze in depth the gut microbiota changes associated with both forms of IBD and CDI and their similarity with the dysbiosis that occurs in CDI. We also discuss the metabolic pathways that favor the proliferation or decrease in several important taxa directly related to the disease.","container-title":"Gut Microbes","DOI":"10.1080/19490976.2020.1725220","ISSN":"1949-0984","issue":"1","journalAbbreviation":"Gut Microbes","language":"eng","note":"PMID: 32129694\nPMCID: PMC7524151","page":"1725220","source":"PubMed","title":"MICROBIOTA INSIGHTS IN CLOSTRIDIUM DIFFICILE INFECTION AND INFLAMMATORY BOWEL DISEASE","volume":"12","author":[{"family":"Rodríguez","given":"C."},{"family":"Romero","given":"E."},{"family":"Garrido-Sanchez","given":"L."},{"family":"Alcaín-Martínez","given":"G."},{"family":"Andrade","given":"R. J."},{"family":"Taminiau","given":"B."},{"family":"Daube","given":"G."},{"family":"García-Fuentes","given":"E."}],"issued":{"date-parts":[["2020",11,9]]}}}],"schema":"https://github.com/citation-style-language/schema/raw/master/csl-citation.json"} </w:instrText>
            </w:r>
            <w:r w:rsidR="00BC1756" w:rsidRPr="00C42BF6">
              <w:rPr>
                <w:rFonts w:ascii="Arial" w:eastAsia="Arial" w:hAnsi="Arial" w:cs="Arial"/>
                <w:i/>
                <w:iCs/>
                <w:color w:val="000000"/>
              </w:rPr>
              <w:fldChar w:fldCharType="separate"/>
            </w:r>
            <w:r w:rsidR="00F80CF1" w:rsidRPr="00F80CF1">
              <w:rPr>
                <w:rFonts w:ascii="Arial" w:hAnsi="Arial" w:cs="Arial"/>
                <w:color w:val="000000"/>
                <w:vertAlign w:val="superscript"/>
              </w:rPr>
              <w:t>131–133</w:t>
            </w:r>
            <w:r w:rsidR="00BC1756" w:rsidRPr="00C42BF6">
              <w:rPr>
                <w:rFonts w:ascii="Arial" w:eastAsia="Arial" w:hAnsi="Arial" w:cs="Arial"/>
                <w:i/>
                <w:iCs/>
                <w:color w:val="000000"/>
              </w:rPr>
              <w:fldChar w:fldCharType="end"/>
            </w:r>
            <w:r w:rsidRPr="00C42BF6">
              <w:rPr>
                <w:rFonts w:ascii="Arial" w:eastAsia="Arial" w:hAnsi="Arial" w:cs="Arial"/>
                <w:i/>
                <w:iCs/>
                <w:color w:val="000000"/>
              </w:rPr>
              <w:t xml:space="preserve"> | Campylobacter jejuni</w:t>
            </w:r>
            <w:r w:rsidR="004A06DB"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{"citationID":"MQbiKDXo","properties":{"formattedCitation":"\\super 134\\uc0\\u8211{}136\\nosupersub{}","plainCitation":"134–136","noteIndex":0},"citationItems":[{"id":3183,"uris":["http://zotero.org/users/local/6BakpO76/items/AI63PRNA"],"itemData":{"id":3183,"type":"article-journal","abstract":"The Gram-negative bacterium Campylobacter jejuni is a major cause of foodborne disease in humans. After infection, C. jejuni rapidly colonizes the mucus layer of the small and large intestine and induces a potent pro-inflammatory response characterized by the production of a large repertoire of cytokines, chemokines, and innate effector molecules, resulting in (bloody) diarrhea. The virulence mechanisms by which C. jejuni causes this intestinal response are still largely unknown. Here we show that C. jejuni releases a potent pro-inflammatory compound into its environment, which activates an NF-κB-mediated pro-inflammatory response including the induction of CXCL8, CXCL2, TNFAIP2 and PTGS2. This response was dependent on a functional ALPK1 receptor and independent of Toll-like Receptor and Nod-like Receptor signaling. Chemical characterization, inactivation of the heptose-biosynthesis pathway by the deletion of the hldE gene and in vitro engineering identified the released factor as the LOS-intermediate ADP-heptose and/or related heptose phosphates. During C. jejuni infection of intestinal cells, the ALPK1-NF-κB axis was potently activated by released heptose metabolites without the need for a type III or type IV injection machinery. Our results classify ADP-heptose and/or related heptose phosphates as a major virulence factor of C. jejuni that may play an important role during Campylobacter infection in humans.","container-title":"PLoS pathogens","DOI":"10.1371/journal.ppat.1009787","ISSN":"1553-7374","issue":"8","journalAbbreviation":"PLoS Pathog","language":"eng","note":"PMID: 34339468\nPMCID: PMC8360561","page":"e1009787","source":"PubMed","title":"The ALPK1 pathway drives the inflammatory response to Campylobacter jejuni in human intestinal epithelial cells","volume":"17","author":[{"family":"Cui","given":"Jiannan"},{"family":"Duizer","given":"Coco"},{"family":"Bouwman","given":"Lieneke I."},{"family":"Rooijen","given":"Kristel S.","non-dropping-particle":"van"},{"family":"Voogdt","given":"Carlos G. P."},{"family":"Putten","given":"Jos P. M.","non-dropping-particle":"van"},{"family":"Zoete","given":"Marcel R.","non-dropping-particle":"de"}],"issued":{"date-parts":[["2021",8]]}}},{"id":3181,"uris":["http://zotero.org/users/local/6BakpO76/items/VWYIGMNW"],"itemData":{"id":3181,"type":"article-journal","abstract":"The inflammatory bowel diseases (IBD), Crohn's disease and ulcerative colitis, are T cell-mediated diseases that are characterized by chronic, relapsing inflammation of the intestinal tract. The pathogenesis of IBD involves the complex interaction between the intestinal microflora, host genetic and immune factors, and environmental stimuli. Epidemiological analyses have implicated acute bacterial enteritis as one of the factors that may incite or exacerbate IBD in susceptible individuals. In this review, we examine how interactions between the common enteric pathogen Campylobacter jejuni (C. jejuni), the host intestinal epithelium, and resident intestinal microflora may contribute to the pathogenesis of IBD. Recent experimental evidence indicates that C. jejuni may permit the translocation of normal, noninvasive microflora via novel processes that implicate epithelial lipid rafts. This breach in intestinal barrier function may, in turn, prime the intestine for chronic inflammatory responses in susceptible individuals. Insights into the interactions between enteric pathogens, the host epithelia, and intestinal microflora will improve our understanding of disease processes that may initiate and/or exacerbate intestinal inflammation in patients with IBD and provide impetus for the development of new therapeutic approaches for the treatment of IBD.","container-title":"American Journal of Physiology. Gastrointestinal and Liver Physiology","DOI":"10.1152/ajpgi.00193.2009","ISSN":"1522-1547","issue":"1","journalAbbreviation":"Am J Physiol Gastrointest Liver Physiol","language":"eng","note":"PMID: 19875702","page":"G1-9","source":"PubMed","title":"A role for Campylobacter jejuni-induced enteritis in inflammatory bowel disease?","volume":"298","author":[{"family":"Kalischuk","given":"Lisa D."},{"family":"Buret","given":"Andre G."}],"issued":{"date-parts":[["2010",1]]}}},{"id":3178,"uris":["http://zotero.org/users/local/6BakpO76/items/4GJUCNB4"],"itemData":{"id":3178,"type":"article-journal","abstract":"Histone modifications control numerous processes in eukaryotes, including inflammation. Some bacterial pathogens alter the activity or expression of host-derived factors, including sirtuins, to modify histones and induce responses that promote infection. In this study, we identified a deacetylase encoded by Campylobacter jejuni which has sirtuin activities and contributes to activation of human neutrophils by the pathogen. This sirtuin is secreted from the bacterium into neutrophils, where it associates with and deacetylates host histones to promote neutrophil activation and extracellular trap production. Using the murine model of campylobacteriosis, we found that a mutant of this bacterial sirtuin efficiently colonized the gastrointestinal tract but was unable to induce cytokine production, gastrointestinal inflammation, and tissue pathology. In conclusion, these results suggest that secreted bacterial sirtuins represent a previously unreported class of bacterial effector and that bacterial-mediated modification of host histones is responsible for the inflammation and pathology that occurs during campylobacteriosis.","container-title":"Science Advances","DOI":"10.1126/sciadv.ade2693","ISSN":"2375-2548","issue":"32","journalAbbreviation":"Sci Adv","language":"eng","note":"PMID: 37566649\nPMCID: PMC10421069","page":"eade2693","source":"PubMed","title":"A secreted sirtuin from Campylobacter jejuni contributes to neutrophil activation and intestinal inflammation during infection","volume":"9","author":[{"family":"Callahan","given":"Sean M."},{"family":"Hancock","given":"Trevor J."},{"family":"Doster","given":"Ryan S."},{"family":"Parker","given":"Caroline B."},{"family":"Wakim","given":"Mary E."},{"family":"Gaddy","given":"Jennifer A."},{"family":"Johnson","given":"Jeremiah G."}],"issued":{"date-parts":[["2023",8,11]]}}}],"schema":"https://github.com/citation-style-language/schema/raw/master/csl-citation.json"} </w:instrText>
            </w:r>
            <w:r w:rsidR="004A06DB" w:rsidRPr="00C42BF6">
              <w:rPr>
                <w:rFonts w:ascii="Arial" w:eastAsia="Arial" w:hAnsi="Arial" w:cs="Arial"/>
                <w:i/>
                <w:iCs/>
                <w:color w:val="000000"/>
              </w:rPr>
              <w:fldChar w:fldCharType="separate"/>
            </w:r>
            <w:r w:rsidR="00F80CF1" w:rsidRPr="00F80CF1">
              <w:rPr>
                <w:rFonts w:ascii="Arial" w:hAnsi="Arial" w:cs="Arial"/>
                <w:color w:val="000000"/>
                <w:vertAlign w:val="superscript"/>
              </w:rPr>
              <w:t>134–136</w:t>
            </w:r>
            <w:r w:rsidR="004A06DB" w:rsidRPr="00C42BF6">
              <w:rPr>
                <w:rFonts w:ascii="Arial" w:eastAsia="Arial" w:hAnsi="Arial" w:cs="Arial"/>
                <w:i/>
                <w:iCs/>
                <w:color w:val="000000"/>
              </w:rPr>
              <w:fldChar w:fldCharType="end"/>
            </w:r>
            <w:r w:rsidRPr="00C42BF6">
              <w:rPr>
                <w:rFonts w:ascii="Arial" w:eastAsia="Arial" w:hAnsi="Arial" w:cs="Arial"/>
                <w:i/>
                <w:iCs/>
                <w:color w:val="000000"/>
              </w:rPr>
              <w:t xml:space="preserve"> | Enterococcus faecium</w:t>
            </w:r>
            <w:r w:rsidR="004A06DB"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{"citationID":"nebgwutp","properties":{"formattedCitation":"\\super 137\\uc0\\u8211{}139\\nosupersub{}","plainCitation":"137–139","noteIndex":0},"citationItems":[{"id":3191,"uris":["http://zotero.org/users/local/6BakpO76/items/DW5RJ7VN"],"itemData":{"id":3191,"type":"article-journal","abstract":"BACKGROUND: Vancomycin-resistant Enterococcus faecium (VRE-fm) bacteremia causes significant mortality in hospitalized patients. We sought to investigate clinical characteristics, treatment outcomes, and microbiological eradication associated with VRE-fm bacteremia.\nMETHODS: A retrospective cohort study was conducted and included 210 adult patients admitted between January 1, 2011 and December 31, 2015.\nRESULTS: The mean Pitt bacteremia score was 4.7. ICU stay (48.6%) and mechanical ventilation (46.2%) were common. Diabetes mellitus was the most common concomitant disease (43.3%), followed by malignancies, including hematologic malignancies (14.3%) and solid cancers (28.1%). The 14-day and 28-day mortality rates were 37.1% and 50.5%, respectively. Linezolid or daptomycin treatment for at least 10 days and higher Pitt bacteremia scores were independently associated with 14-day and 28-day mortality. Longer treatment duration of linezolid or daptomycin predicted microbiological eradication independently. Daptomycin-treated patients tended to have higher 14-day and 28-day mortality, and lower microbial eradication rates (20.8% versus 8.7%; 40.6% versus 26.1%; 14.1% versus 26.1%; respectively) than linezolid-treated patients, and cumulative survival rates at 14 and 28 days tended to be lower in patients who received low-dose daptomycin (&lt;10 mg/kg/day) than that in those who received linezolid and high-dose daptomycin (≥10 mg/kg/day); however, the differences were not statistically significant.\nCONCLUSION: Higher disease severity and inappropriate treatment were associated with increased mortality and longer treatment duration of linezolid or daptomycin was associated with microbial eradication for the patient with VRE-fm bacteremia.","container-title":"Journal of Microbiology, Immunology, and Infection = Wei Mian Yu Gan Ran Za Zhi","DOI":"10.1016/j.jmii.2017.08.025","ISSN":"1995-9133","issue":"6","journalAbbreviation":"J Microbiol Immunol Infect","language":"eng","note":"PMID: 29046248","page":"705-716","source":"PubMed","title":"Clinical characteristics and treatment outcomes of vancomycin-resistant Enterococcus faecium bacteremia","volume":"51","author":[{"family":"Ye","given":"Jung-Jr"},{"family":"Shie","given":"Shian-Sen"},{"family":"Cheng","given":"Chun-Wen"},{"family":"Yang","given":"Jeng-How"},{"family":"Huang","given":"Po-Yen"},{"family":"Wu","given":"Ting-Shu"},{"family":"Lee","given":"Ming-Hsun"},{"family":"Huang","given":"Ching-Tai"}],"issued":{"date-parts":[["2018",12]]}}},{"id":3189,"uris":["http://zotero.org/users/local/6BakpO76/items/SRE6X7PZ"],"itemData":{"id":3189,"type":"article-journal","abstract":"INTRODUCTION: Enterococcus faecium is a commensal microorganism that can cause infections such as bacteremia. Incidence of ampicillin-resistant and vancomycin-susceptible E. faecium (EfARSV) bacteremia is on the rise, and the mortality rate is high. Despite much data, the most appropriate treatment remains a question.\nAREAS COVERED: This article mostly reviews the relevant aspects of EfARSV bacteremia: microbiology, gastrointestinal tract colonization and invasion, antibiotic resistance, epidemiology, risk factors, mortality, and treatment, including pharmacologic components of employed agents and related clinical evidence. A literature search was conducted on PubMed on 31 July 2022, which was updated on 15 November 2022.\nEXPERT OPINION: EfARSV bacteremia presents high mortality. However, it is uncertain whether mortality is attributable to or a marker of severity/comorbidities. Considering its antibiotic resistance pattern, EfARSV is considered a difficult-to-treat microorganism. Glycopeptides have been used to treat EfARSV, with linezolid and daptomycin serving as potential alternative agents. Yet, the use of daptomycin is controversial due to a higher risk of treatment failures. Clinical evidence on this issue is scarce, unfortunately, and subject to many limitations. Despite increased incidence and mortality, EfARSV bacteremia presents multiple aspects to be addressed in well-conducted studies.","container-title":"Expert Review of Anti-Infective Therapy","DOI":"10.1080/14787210.2023.2223977","ISSN":"1744-8336","issue":"7","journalAbbreviation":"Expert Rev Anti Infect Ther","language":"eng","note":"PMID: 37294450","page":"759-775","source":"PubMed","title":"Ampicillin-resistant and vancomycin-susceptible Enterococcus faecium bacteremia: a clinical narrative review","title-short":"Ampicillin-resistant and vancomycin-susceptible Enterococcus faecium bacteremia","volume":"21","author":[{"family":"Echeverria-Esnal","given":"Daniel"},{"family":"Sorli","given":"Luisa"},{"family":"Navarrete-Rouco","given":"María Eugenia"},{"family":"Prim","given":"Nuria"},{"family":"Barcelo-Vidal","given":"Jaime"},{"family":"Conde-Estévez","given":"David"},{"family":"Montero","given":"María Milagro"},{"family":"Martin-Ontiyuelo","given":"Clara"},{"family":"Horcajada","given":"Juan Pablo"},{"family":"Grau","given":"Santiago"}],"issued":{"date-parts":[["2023"]]}}},{"id":3186,"uris":["http://zotero.org/users/local/6BakpO76/items/3D2REIR5"],"itemData":{"id":3186,"type":"article-journal","abstract":"Commensal bacteria inhabit mucosal and epidermal surfaces in mice and humans, and have effects on metabolic and immune pathways in their hosts. Recent studies indicate that the commensal microbiota can be manipulated to prevent and even to cure infections that are caused by pathogenic bacteria, particularly pathogens that are broadly resistant to antibiotics, such as vancomycin-resistant Enterococcus faecium, Gram-negative Enterobacteriaceae and Clostridium difficile. In this Review, we discuss how immune- mediated colonization resistance against antibiotic-resistant intestinal pathogens is influenced by the composition of the commensal microbiota. We also review recent advances characterizing the ability of different commensal bacterial families, genera and species to restore colonization resistance to intestinal pathogens in antibiotic-treated hosts.","container-title":"Nature Reviews. Immunology","DOI":"10.1038/nri3535","ISSN":"1474-1741","issue":"11","journalAbbreviation":"Nat Rev Immunol","language":"eng","note":"PMID: 24096337\nPMCID: PMC4194195","page":"790-801","source":"PubMed","title":"Microbiota-mediated colonization resistance against intestinal pathogens","volume":"13","author":[{"family":"Buffie","given":"Charlie G."},{"family":"Pamer","given":"Eric G."}],"issued":{"date-parts":[["2013",11]]}}}],"schema":"https://github.com/citation-style-language/schema/raw/master/csl-citation.json"} </w:instrText>
            </w:r>
            <w:r w:rsidR="004A06DB" w:rsidRPr="00C42BF6">
              <w:rPr>
                <w:rFonts w:ascii="Arial" w:eastAsia="Arial" w:hAnsi="Arial" w:cs="Arial"/>
                <w:i/>
                <w:iCs/>
                <w:color w:val="000000"/>
              </w:rPr>
              <w:fldChar w:fldCharType="separate"/>
            </w:r>
            <w:r w:rsidR="00F80CF1" w:rsidRPr="00F80CF1">
              <w:rPr>
                <w:rFonts w:ascii="Arial" w:hAnsi="Arial" w:cs="Arial"/>
                <w:color w:val="000000"/>
                <w:vertAlign w:val="superscript"/>
              </w:rPr>
              <w:t>137–139</w:t>
            </w:r>
            <w:r w:rsidR="004A06DB" w:rsidRPr="00C42BF6">
              <w:rPr>
                <w:rFonts w:ascii="Arial" w:eastAsia="Arial" w:hAnsi="Arial" w:cs="Arial"/>
                <w:i/>
                <w:iCs/>
                <w:color w:val="000000"/>
              </w:rPr>
              <w:fldChar w:fldCharType="end"/>
            </w:r>
            <w:r w:rsidRPr="00C42BF6">
              <w:rPr>
                <w:rFonts w:ascii="Arial" w:eastAsia="Arial" w:hAnsi="Arial" w:cs="Arial"/>
                <w:i/>
                <w:iCs/>
                <w:color w:val="000000"/>
              </w:rPr>
              <w:t xml:space="preserve"> | Streptococcus pneumoniae</w:t>
            </w:r>
            <w:r w:rsidR="000B628C"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{"citationID":"gs1KQpYd","properties":{"formattedCitation":"\\super 140\\uc0\\u8211{}142\\nosupersub{}","plainCitation":"140–142","noteIndex":0},"citationItems":[{"id":3199,"uris":["http://zotero.org/users/local/6BakpO76/items/YC4U84AB"],"itemData":{"id":3199,"type":"article-journal","abstract":"Pneumococcal adherence and virulence factor A (PavA) is displayed to the cell outer surface of Streptococcus pneumoniae and mediates pneumococcal binding to immobilized fibronectin. PavA, which lacks a typical gram-positive signal sequence and cell surface anchorage motif, is essential for pneumococcal virulence in a mouse infection model of septicemia. In this report the impact of PavA on pneumococcal adhesion to and invasion of eukaryotic cells and on experimental pneumococcal meningitis was investigated. In the experimental mouse meningitis model, the virulence of the pavA knockout mutant of S. pneumoniae D39, which did not show alterations of subcellular structures as indicated by electron microscopic studies, was strongly decreased. Pneumococcal strains deficient in PavA showed substantially reduced adherence to and internalization of epithelial cell lines A549 and HEp-2. Similar results were obtained with human brain-derived microvascular endothelial cells and human umbilical vein-derived endothelial cells. Attachment and internalization of pneumococci were not significantly affected by preincubation or cocultivations of pneumococci with anti-PavA antisera. Pneumococcal adherence was also not significantly affected by the addition of PavA protein. Complementation of the pavA knockout strain with exogenously added PavA polypeptide did not restore adherence of the mutant. These data suggest that PavA affects pneumococcal colonization by modulating expression or function of important virulence determinants of S. pneumoniae.","container-title":"Infection and Immunity","DOI":"10.1128/IAI.73.5.2680-2689.2005","ISSN":"0019-9567","issue":"5","journalAbbreviation":"Infect Immun","language":"eng","note":"PMID: 15845469\nPMCID: PMC1087317","page":"2680-2689","source":"PubMed","title":"PavA of Streptococcus pneumoniae modulates adherence, invasion, and meningeal inflammation","volume":"73","author":[{"family":"Pracht","given":"Daniela"},{"family":"Elm","given":"Christine"},{"family":"Gerber","given":"Joachim"},{"family":"Bergmann","given":"Simone"},{"family":"Rohde","given":"Manfred"},{"family":"Seiler","given":"Marleen"},{"family":"Kim","given":"Kwang S."},{"family":"Jenkinson","given":"Howard F."},{"family":"Nau","given":"Roland"},{"family":"Hammerschmidt","given":"Sven"}],"issued":{"date-parts":[["2005",5]]}}},{"id":3195,"uris":["http://zotero.org/users/local/6BakpO76/items/P82R8M4Q"],"itemData":{"id":3195,"type":"article-journal","container-title":"Mediators of Inflammation","DOI":"10.1155/2014/456256","ISSN":"1466-1861","journalAbbreviation":"Mediators Inflamm","language":"eng","note":"PMID: 24623961\nPMCID: PMC3929288","page":"456256","source":"PubMed","title":"Inflammation and infection in critical care medicine","volume":"2014","author":[{"family":"Bermejo-Martin","given":"Jesús F."},{"family":"Martín-Loeches","given":"Ignacio"},{"family":"Bosinger","given":"Steven"}],"issued":{"date-parts":[["2014"]]}}},{"id":3193,"uris":["http://zotero.org/users/local/6BakpO76/items/LQNYAZ54"],"itemData":{"id":3193,"type":"article-journal","abstract":"Streptococcus pneumoniae (the pneumoccus) is the leading cause of otitis media, community-acquired pneumonia, and bacterial meningitis. The success of the pneumococcus stems from its ability to persist in the population as a commensal and avoid killing by immune system. This chapter first reviews the molecular mechanisms that allow the pneumococcus to colonize and spread from one anatomical site to the next. Then, it discusses the mechanisms of inflammation and cytotoxicity during emerging and classical pneumococcal infections.","container-title":"Microbiology Spectrum","DOI":"10.1128/microbiolspec.GPP3-0004-2018","ISSN":"2165-0497","issue":"2","journalAbbreviation":"Microbiol Spectr","language":"eng","note":"PMID: 30873934\nPMCID: PMC6422050","source":"PubMed","title":"Streptococcus pneumoniae: Invasion and Inflammation","title-short":"Streptococcus pneumoniae","volume":"7","author":[{"family":"Loughran","given":"Allister J."},{"family":"Orihuela","given":"Carlos J."},{"family":"Tuomanen","given":"Elaine I."}],"issued":{"date-parts":[["2019",3]]}}}],"schema":"https://github.com/citation-style-language/schema/raw/master/csl-citation.json"} </w:instrText>
            </w:r>
            <w:r w:rsidR="000B628C" w:rsidRPr="00C42BF6">
              <w:rPr>
                <w:rFonts w:ascii="Arial" w:eastAsia="Arial" w:hAnsi="Arial" w:cs="Arial"/>
                <w:i/>
                <w:iCs/>
                <w:color w:val="000000"/>
              </w:rPr>
              <w:fldChar w:fldCharType="separate"/>
            </w:r>
            <w:r w:rsidR="00F80CF1" w:rsidRPr="00F80CF1">
              <w:rPr>
                <w:rFonts w:ascii="Arial" w:hAnsi="Arial" w:cs="Arial"/>
                <w:color w:val="000000"/>
                <w:vertAlign w:val="superscript"/>
              </w:rPr>
              <w:t>140–142</w:t>
            </w:r>
            <w:r w:rsidR="000B628C" w:rsidRPr="00C42BF6">
              <w:rPr>
                <w:rFonts w:ascii="Arial" w:eastAsia="Arial" w:hAnsi="Arial" w:cs="Arial"/>
                <w:i/>
                <w:iCs/>
                <w:color w:val="000000"/>
              </w:rPr>
              <w:fldChar w:fldCharType="end"/>
            </w:r>
            <w:r w:rsidRPr="00C42BF6">
              <w:rPr>
                <w:rFonts w:ascii="Arial" w:eastAsia="Arial" w:hAnsi="Arial" w:cs="Arial"/>
                <w:i/>
                <w:iCs/>
                <w:color w:val="000000"/>
              </w:rPr>
              <w:t xml:space="preserve"> | Staphylococcus aureus</w:t>
            </w:r>
            <w:r w:rsidR="00214988"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{"citationID":"2TqRjTfM","properties":{"formattedCitation":"\\super 143,144\\nosupersub{}","plainCitation":"143,144","noteIndex":0},"citationItems":[{"id":3202,"uris":["http://zotero.org/users/local/6BakpO76/items/VTIM8YNG"],"itemData":{"id":3202,"type":"article-journal","abstract":"Staphylococcus aureus is an opportunistic pathogen that normally colonizes the human anterior nares. At the same time, this pathogen is one of the leading causes of life-threatening bloodstream infections, such as sepsis and endocarditis. In this review we will present the current understanding of the pathogenesis of these invasive infections, focusing on the mechanisms of S. aureus clearance from the bloodstream by the immune system, and how this pathogen hijacks the host defense and coagulation systems and further interacts with the blood vessel endothelium. Additionally, we will delve into the regulatory mechanisms S. aureus employs during an invasive infection. These new insights into host-pathogen interactions show promising avenues for the development of novel therapies for treating bloodstream infections.","container-title":"Current Opinion in Microbiology","DOI":"10.1016/j.mib.2020.02.005","ISSN":"1879-0364","journalAbbreviation":"Curr Opin Microbiol","language":"eng","note":"PMID: 32172183\nPMCID: PMC7244392","page":"51-60","source":"PubMed","title":"Staphylococcus aureus bloodstream infections: pathogenesis and regulatory mechanisms","title-short":"Staphylococcus aureus bloodstream infections","volume":"53","author":[{"family":"Kwiecinski","given":"Jakub M."},{"family":"Horswill","given":"Alexander R."}],"issued":{"date-parts":[["2020",2]]}}},{"id":3205,"uris":["http://zotero.org/users/local/6BakpO76/items/6JLGRZ8S"],"itemData":{"id":3205,"type":"article-journal","abstract":"Staphylococcus aureus is a very common Gram-positive bacterium, and S. aureus infections play an extremely important role in a variety of diseases. This paper describes the types of virulence factors involved, the inflammatory cells activated, the process of host cell death, and the associated diseases caused by S. aureus. S. aureus can secrete a variety of enterotoxins and other toxins to trigger inflammatory responses and activate inflammatory cells, such as keratinocytes, helper T cells, innate lymphoid cells, macrophages, dendritic cells, mast cells, neutrophils, eosinophils, and basophils. Activated inflammatory cells can express various cytokines and induce an inflammatory response. S. aureus can also induce host cell death through pyroptosis, apoptosis, necroptosis, autophagy, etc. This article discusses S. aureus and MRSA (methicillin-resistant S. aureus) in atopic dermatitis, psoriasis, pulmonary cystic fibrosis, allergic asthma, food poisoning, sarcoidosis, multiple sclerosis, and osteomyelitis. Summarizing the pathogenic mechanism of Staphylococcus aureus provides a basis for the targeted treatment of Staphylococcus aureus infection.","container-title":"Toxins","DOI":"10.3390/toxins14070464","ISSN":"2072-6651","issue":"7","journalAbbreviation":"Toxins (Basel)","language":"eng","note":"PMID: 35878202\nPMCID: PMC9318596","page":"464","source":"PubMed","title":"Exploring the Role of Staphylococcus aureus in Inflammatory Diseases","volume":"14","author":[{"family":"Chen","given":"Huanquan"},{"family":"Zhang","given":"Junyan"},{"family":"He","given":"Ying"},{"family":"Lv","given":"Zhuoyi"},{"family":"Liang","given":"Zhengtong"},{"family":"Chen","given":"Jianze"},{"family":"Li","given":"Peishan"},{"family":"Liu","given":"Jiawei"},{"family":"Yang","given":"Hongchen"},{"family":"Tao","given":"Ailin"},{"family":"Liu","given":"Xueting"}],"issued":{"date-parts":[["2022",7,6]]}}}],"schema":"https://github.com/citation-style-language/schema/raw/master/csl-citation.json"} </w:instrText>
            </w:r>
            <w:r w:rsidR="00214988" w:rsidRPr="00C42BF6">
              <w:rPr>
                <w:rFonts w:ascii="Arial" w:eastAsia="Arial" w:hAnsi="Arial" w:cs="Arial"/>
                <w:i/>
                <w:iCs/>
                <w:color w:val="000000"/>
              </w:rPr>
              <w:fldChar w:fldCharType="separate"/>
            </w:r>
            <w:r w:rsidR="00F80CF1" w:rsidRPr="00F80CF1">
              <w:rPr>
                <w:rFonts w:ascii="Arial" w:hAnsi="Arial" w:cs="Arial"/>
                <w:color w:val="000000"/>
                <w:vertAlign w:val="superscript"/>
              </w:rPr>
              <w:t>143,144</w:t>
            </w:r>
            <w:r w:rsidR="00214988" w:rsidRPr="00C42BF6">
              <w:rPr>
                <w:rFonts w:ascii="Arial" w:eastAsia="Arial" w:hAnsi="Arial" w:cs="Arial"/>
                <w:i/>
                <w:iCs/>
                <w:color w:val="000000"/>
              </w:rPr>
              <w:fldChar w:fldCharType="end"/>
            </w:r>
            <w:r w:rsidR="00E17E4E" w:rsidRPr="00C42BF6">
              <w:rPr>
                <w:rFonts w:ascii="Arial" w:eastAsia="Arial" w:hAnsi="Arial" w:cs="Arial"/>
                <w:i/>
                <w:iCs/>
                <w:color w:val="000000"/>
              </w:rPr>
              <w:t xml:space="preserve"> </w:t>
            </w:r>
          </w:p>
        </w:tc>
      </w:tr>
      <w:tr w:rsidR="00580A30" w:rsidRPr="00C42BF6" w14:paraId="3B914021" w14:textId="77777777" w:rsidTr="1FC84CC2">
        <w:trPr>
          <w:trHeight w:val="855"/>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6DFC70"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LPS Producing Bacteria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7A3007" w14:textId="6DD26BD4" w:rsidR="277E52C9" w:rsidRPr="00C42BF6" w:rsidRDefault="2EBACE1F" w:rsidP="2EBACE1F">
            <w:pPr>
              <w:jc w:val="center"/>
              <w:rPr>
                <w:rFonts w:ascii="Arial" w:eastAsia="Arial" w:hAnsi="Arial" w:cs="Arial"/>
                <w:color w:val="000000"/>
              </w:rPr>
            </w:pPr>
            <w:r w:rsidRPr="00C42BF6">
              <w:rPr>
                <w:rFonts w:ascii="Arial" w:eastAsia="Arial" w:hAnsi="Arial" w:cs="Arial"/>
                <w:i/>
                <w:iCs/>
                <w:color w:val="000000"/>
              </w:rPr>
              <w:t>Escherichia coli</w:t>
            </w:r>
            <w:r w:rsidR="00EA02AA"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{"citationID":"paahCoRh","properties":{"formattedCitation":"\\super 145,146\\nosupersub{}","plainCitation":"145,146","noteIndex":0},"citationItems":[{"id":3211,"uris":["http://zotero.org/users/local/6BakpO76/items/G6S452BK"],"itemData":{"id":3211,"type":"article-journal","abstract":"INTRODUCTION: Recent evidence supports a role for the gut microbe-metabolites in longevity. However, the phenomenon of hypertension is more common in the longevity area and whether hypertension is associated with longevity remains unclear. Here, we hypothesize that the levels of gut microbiota, SCFAs, and urine metabolites were different between hypertension elderly and hypertension longevity.\nMETHODS: We recruited 46 elderly volunteers from Donglan County, Guangxi, and 32 were selected and included in the experiment. The subjects with hypertension were divided into two groups according to age, Hypertension Elderly (HTE, aged 70.5 ± 8.59, n = 19) and Hypertension Longevity (HTL, aged 100 ± 5.72, n = 13). The gut microbiota, SCFAs, and urine metabolites were determined by three-generation 16S rRNA full-length sequencing, GC-MS, and 1H-NMR, respectively.\nRESULTS: Compared with the HTL group, the HTE group had higher levels of hypertension-related genera Klebsiella and Streptococcus, while having lower levels of the SCFA-producing genera Bacteroides, Faecalibacterium, and Alistipes. Based on LEFse analysis, Klebsiella pneumoniae, Lactobacillus gasseri, Streptococcus salivarius, Ruminococcus, Actinomyces, Rikenellaceae, f_Saccharimonadaceae, Clostridium perfringens, and Bacteroids, Faecalibacterium prausnitzii, Parabacteroides, Alistipes were biomarkers that showed significant differences between the groups. In addition, the microbial pathways associated with K. pneumoniae and E. coli may promote hypertension, while A. muciniphila may play a role in reversing the development of hypertension in long-lived elderly. Metabolomics revealed that HTL contained a lower concentration of fecal acetate and propionate than HTE, while it contained a higher concentration of serum acetate and urine acetate. Furthermore, their immune cells exhibited no significant changes in SCFAs receptors.\nCONCLUSION: Although long-lived elderly have extremely high systolic blood pressure, their unique gut microbiota composition and efficient acetate absorption in the colon may offset the damages caused by hypertension and maintain healthy homeostasis.","container-title":"Frontiers in Nutrition","DOI":"10.3389/fnut.2022.1070223","ISSN":"2296-861X","journalAbbreviation":"Front Nutr","language":"eng","note":"PMID: 36726815\nPMCID: PMC9884688","page":"1070223","source":"PubMed","title":"Protection effect of gut microbiota composition and acetate absorption against hypertension-induced damages on the longevity population in Guangxi, China","volume":"9","author":[{"family":"Zhang","given":"Qinren"},{"family":"Meng","given":"Ning"},{"family":"Liu","given":"Yu"},{"family":"Zhao","given":"Haiyan"},{"family":"Zhao","given":"Zhengtao"},{"family":"Hao","given":"Dan"},{"family":"Li","given":"Ruiding"},{"family":"Han","given":"Kunchen"},{"family":"Li","given":"He"},{"family":"Ma","given":"Jinke"},{"family":"Yu","given":"Xiaohan"},{"family":"Qi","given":"Zhongquan"},{"family":"Li","given":"Quanyang"}],"issued":{"date-parts":[["2022"]]}}},{"id":3208,"uris":["http://zotero.org/users/local/6BakpO76/items/KYDWYVMU"],"itemData":{"id":3208,"type":"article-journal","abstract":"Carotid atherosclerosis (CAS) is a reflection of systemic atherosclerosis and the main pathological processes of cardiovascular disease (CVD), namely, carotid intima-media thickening, carotid plaque formation, and carotid stenosis. Accumulating evidence indicates that the gut microbiota plays an important role in CVD and gut-brain disorders, but the associations of the composition and metabolites of the gut microbiome with CAS have not been studied comprehensively. We performed a gut microbiome genome-wide association study in 31 patients with CAS and 51 healthy controls using whole-genome shotgun sequencing. We found that several risk factors (waist circumference, body mass index, diastolic blood pressure, systolic blood pressure, fasting blood glucose, glycated hemoglobin A1c, total cholesterol, triglyceride, and low-density lipoprotein cholesterol) and inflammatory markers (white blood cell count and absolute value of neutrophils) were significantly higher in the CAS group than in the control group. In addition, 21 species and 142 pathways were enriched in the CAS group, and 10 species and 1 pathway were enriched in the control group. Specifically, Bacteroides eggerthii, Escherichia coli, and Klebsiella pneumoniae were the most abundant species in the CAS group, whereas Parabacteroides unclassified, Prevotella copri, Bacteroides sp 3_1_19, and Haemophilus parainfluenzae were the most abundant species in the control group. Finally, we found that most gut microbes and microbial pathways that were enriched in the CAS group had significant positive correlations with clinical characteristics, whereas the microbes and pathways enriched in healthy controls had significant negative correlations with clinical characteristics excluding high-density lipoprotein cholesterol. In addition, the associations between gut microbes and some microbial pathways (short-chain fatty acid, lipopolysaccharide, and menaquinol biosynthesis) were identified. Our results indicate the existence of a cyclic pathway that elevates the circulating concentrations of trimethylamine-N-oxide in patients with CAS but reduces its concentrations in healthy controls.","container-title":"Frontiers in Cardiovascular Medicine","DOI":"10.3389/fcvm.2021.739093","ISSN":"2297-055X","journalAbbreviation":"Front Cardiovasc Med","language":"eng","note":"PMID: 34869642\nPMCID: PMC8639581","page":"739093","source":"PubMed","title":"Gut Microbiome Alterations in Patients With Carotid Atherosclerosis","volume":"8","author":[{"family":"Chen","given":"Jingfeng"},{"family":"Qin","given":"Qian"},{"family":"Yan","given":"Su"},{"family":"Yang","given":"Yang"},{"family":"Yan","given":"Hang"},{"family":"Li","given":"Tiantian"},{"family":"Wang","given":"Lin"},{"family":"Gao","given":"Xinxin"},{"family":"Li","given":"Ang"},{"family":"Ding","given":"Suying"}],"issued":{"date-parts":[["2021"]]}}}],"schema":"https://github.com/citation-style-language/schema/raw/master/csl-citation.json"} </w:instrText>
            </w:r>
            <w:r w:rsidR="00EA02AA" w:rsidRPr="00C42BF6">
              <w:rPr>
                <w:rFonts w:ascii="Arial" w:eastAsia="Arial" w:hAnsi="Arial" w:cs="Arial"/>
                <w:i/>
                <w:iCs/>
                <w:color w:val="000000"/>
              </w:rPr>
              <w:fldChar w:fldCharType="separate"/>
            </w:r>
            <w:r w:rsidR="00F80CF1" w:rsidRPr="00F80CF1">
              <w:rPr>
                <w:rFonts w:ascii="Arial" w:hAnsi="Arial" w:cs="Arial"/>
                <w:color w:val="000000"/>
                <w:vertAlign w:val="superscript"/>
              </w:rPr>
              <w:t>145,146</w:t>
            </w:r>
            <w:r w:rsidR="00EA02AA" w:rsidRPr="00C42BF6">
              <w:rPr>
                <w:rFonts w:ascii="Arial" w:eastAsia="Arial" w:hAnsi="Arial" w:cs="Arial"/>
                <w:i/>
                <w:iCs/>
                <w:color w:val="000000"/>
              </w:rPr>
              <w:fldChar w:fldCharType="end"/>
            </w:r>
            <w:r w:rsidRPr="00C42BF6">
              <w:rPr>
                <w:rFonts w:ascii="Arial" w:eastAsia="Arial" w:hAnsi="Arial" w:cs="Arial"/>
                <w:i/>
                <w:iCs/>
                <w:color w:val="000000"/>
              </w:rPr>
              <w:t xml:space="preserve"> | Salmonella enterica</w:t>
            </w:r>
            <w:r w:rsidR="00EA02AA"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{"citationID":"nOw5YRCl","properties":{"formattedCitation":"\\super 147,148\\nosupersub{}","plainCitation":"147,148","noteIndex":0},"citationItems":[{"id":3216,"uris":["http://zotero.org/users/local/6BakpO76/items/R5GKNTQZ"],"itemData":{"id":3216,"type":"article-journal","abstract":"Gram-negative sepsis is related to the activation of interconnected inflammatory cascades in response to bacteria and their products. Recent work showed that flagellin, the monomeric subunit of bacterial flagella, triggers innate immune responses mediated by Toll-like receptor 5. Here, we compared the effects of Salmonella enterica serovar Enteritidis lipopolysaccharide (LPS) and recombinant Salmonella enterica serovar Muenchen flagellin administered intravenously (100 microg) to mice. Flagellin and LPS both elicited a prototypical systemic inflammatory response, with increased levels of tumor necrosis factor alpha, gamma interferon, interleukin 6 and 10, and nitrate in plasma. Flagellin induced a widespread oxidative stress, evidenced by an increase in malondialdehyde and a decrease in reduced glutathione in most organs, as well as liver (increased plasma aminotransferases), but not renal, injury. Alternatively, LPS resulted in a less severe oxidative stress and triggered renal, but not liver, damage. Sequestration of polymorphonuclear neutrophils (increased myeloperoxidase activity) in the lungs was observed with both toxins, while only LPS recruited neutrophils in the gut. In additional experiments, the simultaneous administration of small doses of LPS and flagellin (10 microg) induced a synergistic enhancement of the production of proinflammatory cytokines. Our data support a novel concept implicating flagellin as a mediator of systemic inflammation, oxidant stress, and organ damage induced by gram-negative bacteria.","container-title":"Infection and Immunity","DOI":"10.1128/IAI.70.1.192-198.2002","ISSN":"0019-9567","issue":"1","journalAbbreviation":"Infect Immun","language":"eng","note":"PMID: 11748182\nPMCID: PMC127621","page":"192-198","source":"PubMed","title":"Comparison of inflammation, organ damage, and oxidant stress induced by Salmonella enterica serovar Muenchen flagellin and serovar Enteritidis lipopolysaccharide","volume":"70","author":[{"family":"Liaudet","given":"Lucas"},{"family":"Murthy","given":"Kanneganti G. K."},{"family":"Mabley","given":"Jon G."},{"family":"Pacher","given":"Pál"},{"family":"Soriano","given":"Francisco G."},{"family":"Salzman","given":"Andrew L."},{"family":"Szabó","given":"Csaba"}],"issued":{"date-parts":[["2002",1]]}}},{"id":3214,"uris":["http://zotero.org/users/local/6BakpO76/items/ZYVLC2EW"],"itemData":{"id":3214,"type":"article-journal","abstract":"Bacterial lipopolysaccharides (LPS) are unique and complex glycolipids that provide characteristic components of the outer membranes of Gram-negative bacteria. In LPS of the Enterobacteriaceae, the core oligosaccharide links a highly conserved lipid A to the antigenic O-polysaccharide. Structural diversity in the core oligosaccharide is limited by the constraints imposed by its essential role in outer membrane stability and provides a contrast to the hypervariable O-antigen. The genetics of core oligosaccharide biosynthesis in Salmonella and Escherichia coli K-12 have served as prototypes for studies on the LPS and lipo-oligosaccharides from a growing range of bacteria. However, despite the wealth of knowledge, there remains a number of unanswered questions, and direct experimental data are not yet available to define the precise mechanism of action of many gene products. Here we present a comparative analysis of the recently completed sequences of the major core oligosaccharide biosynthesis gene clusters from the five known core types in E. coli and the Ra core type of Salmonella enterica serovar Typhimurium and discuss advances in the understanding of the related biosynthetic pathways. Differences in these clusters reflect important structural variations in the outer core oligosaccharides and provide a basis for ascribing functions to the genes in these model clusters, whereas highly conserved regions within these clusters suggest a critical and unalterable function for the inner region of the core.","container-title":"Molecular Microbiology","DOI":"10.1046/j.1365-2958.1998.01063.x","ISSN":"0950-382X","issue":"2","journalAbbreviation":"Mol Microbiol","language":"eng","note":"PMID: 9791168","page":"221-232","source":"PubMed","title":"Molecular basis for structural diversity in the core regions of the lipopolysaccharides of Escherichia coli and Salmonella enterica","volume":"30","author":[{"family":"Heinrichs","given":"D. E."},{"family":"Yethon","given":"J. A."},{"family":"Whitfield","given":"C."}],"issued":{"date-parts":[["1998",10]]}}}],"schema":"https://github.com/citation-style-language/schema/raw/master/csl-citation.json"} </w:instrText>
            </w:r>
            <w:r w:rsidR="00EA02AA" w:rsidRPr="00C42BF6">
              <w:rPr>
                <w:rFonts w:ascii="Arial" w:eastAsia="Arial" w:hAnsi="Arial" w:cs="Arial"/>
                <w:i/>
                <w:iCs/>
                <w:color w:val="000000"/>
              </w:rPr>
              <w:fldChar w:fldCharType="separate"/>
            </w:r>
            <w:r w:rsidR="00F80CF1" w:rsidRPr="00F80CF1">
              <w:rPr>
                <w:rFonts w:ascii="Arial" w:hAnsi="Arial" w:cs="Arial"/>
                <w:color w:val="000000"/>
                <w:vertAlign w:val="superscript"/>
              </w:rPr>
              <w:t>147,148</w:t>
            </w:r>
            <w:r w:rsidR="00EA02AA" w:rsidRPr="00C42BF6">
              <w:rPr>
                <w:rFonts w:ascii="Arial" w:eastAsia="Arial" w:hAnsi="Arial" w:cs="Arial"/>
                <w:i/>
                <w:iCs/>
                <w:color w:val="000000"/>
              </w:rPr>
              <w:fldChar w:fldCharType="end"/>
            </w:r>
            <w:r w:rsidRPr="00C42BF6">
              <w:rPr>
                <w:rFonts w:ascii="Arial" w:eastAsia="Arial" w:hAnsi="Arial" w:cs="Arial"/>
                <w:i/>
                <w:iCs/>
                <w:color w:val="000000"/>
              </w:rPr>
              <w:t xml:space="preserve"> | Klebsiella pneumoniae</w:t>
            </w:r>
            <w:r w:rsidR="00657F20"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{"citationID":"So6oah7C","properties":{"formattedCitation":"\\super 145,146\\nosupersub{}","plainCitation":"145,146","noteIndex":0},"citationItems":[{"id":3211,"uris":["http://zotero.org/users/local/6BakpO76/items/G6S452BK"],"itemData":{"id":3211,"type":"article-journal","abstract":"INTRODUCTION: Recent evidence supports a role for the gut microbe-metabolites in longevity. However, the phenomenon of hypertension is more common in the longevity area and whether hypertension is associated with longevity remains unclear. Here, we hypothesize that the levels of gut microbiota, SCFAs, and urine metabolites were different between hypertension elderly and hypertension longevity.\nMETHODS: We recruited 46 elderly volunteers from Donglan County, Guangxi, and 32 were selected and included in the experiment. The subjects with hypertension were divided into two groups according to age, Hypertension Elderly (HTE, aged 70.5 ± 8.59, n = 19) and Hypertension Longevity (HTL, aged 100 ± 5.72, n = 13). The gut microbiota, SCFAs, and urine metabolites were determined by three-generation 16S rRNA full-length sequencing, GC-MS, and 1H-NMR, respectively.\nRESULTS: Compared with the HTL group, the HTE group had higher levels of hypertension-related genera Klebsiella and Streptococcus, while having lower levels of the SCFA-producing genera Bacteroides, Faecalibacterium, and Alistipes. Based on LEFse analysis, Klebsiella pneumoniae, Lactobacillus gasseri, Streptococcus salivarius, Ruminococcus, Actinomyces, Rikenellaceae, f_Saccharimonadaceae, Clostridium perfringens, and Bacteroids, Faecalibacterium prausnitzii, Parabacteroides, Alistipes were biomarkers that showed significant differences between the groups. In addition, the microbial pathways associated with K. pneumoniae and E. coli may promote hypertension, while A. muciniphila may play a role in reversing the development of hypertension in long-lived elderly. Metabolomics revealed that HTL contained a lower concentration of fecal acetate and propionate than HTE, while it contained a higher concentration of serum acetate and urine acetate. Furthermore, their immune cells exhibited no significant changes in SCFAs receptors.\nCONCLUSION: Although long-lived elderly have extremely high systolic blood pressure, their unique gut microbiota composition and efficient acetate absorption in the colon may offset the damages caused by hypertension and maintain healthy homeostasis.","container-title":"Frontiers in Nutrition","DOI":"10.3389/fnut.2022.1070223","ISSN":"2296-861X","journalAbbreviation":"Front Nutr","language":"eng","note":"PMID: 36726815\nPMCID: PMC9884688","page":"1070223","source":"PubMed","title":"Protection effect of gut microbiota composition and acetate absorption against hypertension-induced damages on the longevity population in Guangxi, China","volume":"9","author":[{"family":"Zhang","given":"Qinren"},{"family":"Meng","given":"Ning"},{"family":"Liu","given":"Yu"},{"family":"Zhao","given":"Haiyan"},{"family":"Zhao","given":"Zhengtao"},{"family":"Hao","given":"Dan"},{"family":"Li","given":"Ruiding"},{"family":"Han","given":"Kunchen"},{"family":"Li","given":"He"},{"family":"Ma","given":"Jinke"},{"family":"Yu","given":"Xiaohan"},{"family":"Qi","given":"Zhongquan"},{"family":"Li","given":"Quanyang"}],"issued":{"date-parts":[["2022"]]}}},{"id":3208,"uris":["http://zotero.org/users/local/6BakpO76/items/KYDWYVMU"],"itemData":{"id":3208,"type":"article-journal","abstract":"Carotid atherosclerosis (CAS) is a reflection of systemic atherosclerosis and the main pathological processes of cardiovascular disease (CVD), namely, carotid intima-media thickening, carotid plaque formation, and carotid stenosis. Accumulating evidence indicates that the gut microbiota plays an important role in CVD and gut-brain disorders, but the associations of the composition and metabolites of the gut microbiome with CAS have not been studied comprehensively. We performed a gut microbiome genome-wide association study in 31 patients with CAS and 51 healthy controls using whole-genome shotgun sequencing. We found that several risk factors (waist circumference, body mass index, diastolic blood pressure, systolic blood pressure, fasting blood glucose, glycated hemoglobin A1c, total cholesterol, triglyceride, and low-density lipoprotein cholesterol) and inflammatory markers (white blood cell count and absolute value of neutrophils) were significantly higher in the CAS group than in the control group. In addition, 21 species and 142 pathways were enriched in the CAS group, and 10 species and 1 pathway were enriched in the control group. Specifically, Bacteroides eggerthii, Escherichia coli, and Klebsiella pneumoniae were the most abundant species in the CAS group, whereas Parabacteroides unclassified, Prevotella copri, Bacteroides sp 3_1_19, and Haemophilus parainfluenzae were the most abundant species in the control group. Finally, we found that most gut microbes and microbial pathways that were enriched in the CAS group had significant positive correlations with clinical characteristics, whereas the microbes and pathways enriched in healthy controls had significant negative correlations with clinical characteristics excluding high-density lipoprotein cholesterol. In addition, the associations between gut microbes and some microbial pathways (short-chain fatty acid, lipopolysaccharide, and menaquinol biosynthesis) were identified. Our results indicate the existence of a cyclic pathway that elevates the circulating concentrations of trimethylamine-N-oxide in patients with CAS but reduces its concentrations in healthy controls.","container-title":"Frontiers in Cardiovascular Medicine","DOI":"10.3389/fcvm.2021.739093","ISSN":"2297-055X","journalAbbreviation":"Front Cardiovasc Med","language":"eng","note":"PMID: 34869642\nPMCID: PMC8639581","page":"739093","source":"PubMed","title":"Gut Microbiome Alterations in Patients With Carotid Atherosclerosis","volume":"8","author":[{"family":"Chen","given":"Jingfeng"},{"family":"Qin","given":"Qian"},{"family":"Yan","given":"Su"},{"family":"Yang","given":"Yang"},{"family":"Yan","given":"Hang"},{"family":"Li","given":"Tiantian"},{"family":"Wang","given":"Lin"},{"family":"Gao","given":"Xinxin"},{"family":"Li","given":"Ang"},{"family":"Ding","given":"Suying"}],"issued":{"date-parts":[["2021"]]}}}],"schema":"https://github.com/citation-style-language/schema/raw/master/csl-citation.json"} </w:instrText>
            </w:r>
            <w:r w:rsidR="00657F20" w:rsidRPr="00C42BF6">
              <w:rPr>
                <w:rFonts w:ascii="Arial" w:eastAsia="Arial" w:hAnsi="Arial" w:cs="Arial"/>
                <w:i/>
                <w:iCs/>
                <w:color w:val="000000"/>
              </w:rPr>
              <w:fldChar w:fldCharType="separate"/>
            </w:r>
            <w:r w:rsidR="00F80CF1" w:rsidRPr="00F80CF1">
              <w:rPr>
                <w:rFonts w:ascii="Arial" w:hAnsi="Arial" w:cs="Arial"/>
                <w:color w:val="000000"/>
                <w:vertAlign w:val="superscript"/>
              </w:rPr>
              <w:t>145,146</w:t>
            </w:r>
            <w:r w:rsidR="00657F20" w:rsidRPr="00C42BF6">
              <w:rPr>
                <w:rFonts w:ascii="Arial" w:eastAsia="Arial" w:hAnsi="Arial" w:cs="Arial"/>
                <w:i/>
                <w:iCs/>
                <w:color w:val="000000"/>
              </w:rPr>
              <w:fldChar w:fldCharType="end"/>
            </w:r>
            <w:r w:rsidRPr="00C42BF6">
              <w:rPr>
                <w:rFonts w:ascii="Arial" w:eastAsia="Arial" w:hAnsi="Arial" w:cs="Arial"/>
                <w:i/>
                <w:iCs/>
                <w:color w:val="000000"/>
              </w:rPr>
              <w:t xml:space="preserve"> | Pseudomonas aeruginosa</w:t>
            </w:r>
            <w:r w:rsidR="00657F20"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{"citationID":"yFwIMeYQ","properties":{"formattedCitation":"\\super 149,150\\nosupersub{}","plainCitation":"149,150","noteIndex":0},"citationItems":[{"id":3228,"uris":["http://zotero.org/users/local/6BakpO76/items/A4SVX8NU"],"itemData":{"id":3228,"type":"article-journal","abstract":"The Gram-negative opportunistic pathogen Pseudomonas aeruginosa exploits failures of barrier defense and innate immunity to cause acute infections at a range of anatomic sites. We review the defense mechanisms that normally protect against P. aeruginosa pulmonary infection, as well as the bacterial products and activities that trigger their activation. Innate immune recognition of P. aeruginosa is critical for pathogen clearance; nonetheless, inflammation is also associated with pathogen persistence and poor host outcomes. We describe P. aeruginosa adaptations that improve this pathogen's fitness in the inflamed airway, and briefly discuss strategies to manipulate inflammation to benefit the host. Such adjunct therapies may become increasingly important in the treatment of acute and chronic infections caused by this multi-drug-resistant pathogen.","container-title":"Journal of Innate Immunity","DOI":"10.1159/000455857","ISSN":"1662-8128","issue":"3","journalAbbreviation":"J Innate Immun","language":"eng","note":"PMID: 28222444\nPMCID: PMC5469373","page":"250-261","source":"PubMed","title":"Inflammation: A Double-Edged Sword in the Response to Pseudomonas aeruginosa Infection","title-short":"Inflammation","volume":"9","author":[{"family":"Lin","given":"Christina K."},{"family":"Kazmierczak","given":"Barbara I."}],"issued":{"date-parts":[["2017"]]}}},{"id":3225,"uris":["http://zotero.org/users/local/6BakpO76/items/PCM9FWX4"],"itemData":{"id":3225,"type":"article-journal","abstract":"Pseudomonas aeruginosa is one of the most important bacterial pathogens encountered by immunocompromised hosts and patients with cystic fibrosis (CF), and the lipopolysaccharide (LPS) elaborated by this organism is a key factor in virulence as well as both innate and acquired host responses to infection. The molecule has a fair degree of heterogeneity in its lipid A and O-antigen structure, and elaborates two different outer-core glycoforms, of which only one is ligated to the O-antigen. A close relatedness between the chemical structures and genes encoding biosynthetic enzymes has been established, with 11 major O-antigen groups identified. The lipid A can be variably penta-, hexa- or hepta-acylated, and these isoforms have differing potencies when activating host innate immunity via binding to Toll-like receptor 4 (TLR4). The O-antigen is a major target for protective immunity as evidenced by numerous animal studies, but attempts, to date, to produce a human vaccine targeting these epitopes have not been successful. Newer strategies employing live attenuated P. aeruginosa, or heterologous attenuated bacteria expressing P. aeruginosa O-antigens are potential means to solve some of the existing problems related to making a P. aeruginosa LPS-specific vaccine. Overall, there is now a large amount of information available about the genes and enzymes needed to produce the P. aeruginosa LPS, detailed chemical structures have been determined for the major O-antigens, and significant biologic and immunologic studies have been conducted to define the role of this molecule in virulence and immunity to P. aeruginosa infection.","container-title":"International journal of medical microbiology: IJMM","DOI":"10.1016/j.ijmm.2007.03.012","ISSN":"1438-4221","issue":"5","journalAbbreviation":"Int J Med Microbiol","language":"eng","note":"PMID: 17466590\nPMCID: PMC1994162","page":"277-295","source":"PubMed","title":"Pseudomonas aeruginosa lipopolysaccharide: a major virulence factor, initiator of inflammation and target for effective immunity","title-short":"Pseudomonas aeruginosa lipopolysaccharide","volume":"297","author":[{"family":"Pier","given":"Gerald B."}],"issued":{"date-parts":[["2007",9]]}}}],"schema":"https://github.com/citation-style-language/schema/raw/master/csl-citation.json"} </w:instrText>
            </w:r>
            <w:r w:rsidR="00657F20" w:rsidRPr="00C42BF6">
              <w:rPr>
                <w:rFonts w:ascii="Arial" w:eastAsia="Arial" w:hAnsi="Arial" w:cs="Arial"/>
                <w:i/>
                <w:iCs/>
                <w:color w:val="000000"/>
              </w:rPr>
              <w:fldChar w:fldCharType="separate"/>
            </w:r>
            <w:r w:rsidR="00F80CF1" w:rsidRPr="00F80CF1">
              <w:rPr>
                <w:rFonts w:ascii="Arial" w:hAnsi="Arial" w:cs="Arial"/>
                <w:color w:val="000000"/>
                <w:vertAlign w:val="superscript"/>
              </w:rPr>
              <w:t>149,150</w:t>
            </w:r>
            <w:r w:rsidR="00657F20" w:rsidRPr="00C42BF6">
              <w:rPr>
                <w:rFonts w:ascii="Arial" w:eastAsia="Arial" w:hAnsi="Arial" w:cs="Arial"/>
                <w:i/>
                <w:iCs/>
                <w:color w:val="000000"/>
              </w:rPr>
              <w:fldChar w:fldCharType="end"/>
            </w:r>
            <w:r w:rsidRPr="00C42BF6">
              <w:rPr>
                <w:rFonts w:ascii="Arial" w:eastAsia="Arial" w:hAnsi="Arial" w:cs="Arial"/>
                <w:i/>
                <w:iCs/>
                <w:color w:val="000000"/>
              </w:rPr>
              <w:t xml:space="preserve"> | Proteus mirabilis | Proteus vulgaris</w:t>
            </w:r>
            <w:r w:rsidR="00656C26"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{"citationID":"gR21TUEQ","properties":{"formattedCitation":"\\super 151\\uc0\\u8211{}154\\nosupersub{}","plainCitation":"151–154","noteIndex":0},"citationItems":[{"id":3239,"uris":["http://zotero.org/users/local/6BakpO76/items/UJGE3SLI"],"itemData":{"id":3239,"type":"article-journal","abstract":"The effects of TLR4 blocker on blood cell morphology, concentrations proinflammatory cytokines, and functional state of the liver and kidneys were studied in outbred male rats (n=60) after intravenous injection of 20 mg/kg LPS isolated from opportunistic Proteus mirabilis strain ATCC 51393. TLR4 blocker TLR4-IN-C34 was injected intravenously in a dose of 1 mg/kg/day over 3 days. Systemic inflammatory reaction induced by LPS was characterized by elevation of serum TNFα, IL-1β, IL-6, erythrocyte sedimentation rate, leukocytosis, and thrombocytosis. Increased activity of hepatocyte enzymes (ALT, alkaline phosphatase, and lactate dehydrogenase), retention of nitrogen metabolites (urea and creatinine), elevated content of protein oxidation products, and enhanced protein catabolism were also observed. Administration of TLR4 blocker reduced parameters of inflammatory reaction and prevented the development of hypercatabolic syndrome; endotoxicosis and kidney function indicators approached the normal levels.","container-title":"Bulletin of Experimental Biology and Medicine","DOI":"10.1007/s10517-020-04981-9","ISSN":"1573-8221","issue":"6","journalAbbreviation":"Bull Exp Biol Med","language":"eng","note":"PMID: 33098506","page":"795-797","source":"PubMed","title":"The Effect of TLR4 Blockade on Some Indicators of Systemic Inflammatory Response to Proteus mirabilis LPS in Rats","volume":"169","author":[{"family":"Sivak","given":"K. V."},{"family":"Stosman","given":"K. I."},{"family":"Rassokha","given":"T. A."},{"family":"Aleksandrov","given":"A. G."},{"family":"Kuzmich","given":"N. N."},{"family":"Orshanskaya","given":"Ya R."},{"family":"Savateeva-Lubimova","given":"T. N."},{"family":"Lesiovskaya","given":"E. E."}],"issued":{"date-parts":[["2020",10]]}}},{"id":3236,"uris":["http://zotero.org/users/local/6BakpO76/items/7FSYBMVC"],"itemData":{"id":3236,"type":"article-journal","abstract":"Lipopolysaccharide (LPS, endotoxin) is a well-known causative agent of septic shock and disseminated intravascular coagulation. The action of LPS is related to the activation of many types of cells, including blood platelets. We examined the effects of different LPSs from Proteus mirabilis (smooth form LPS S1959 and rough forms LPSs R110 and R45) and fragments of LPS structure (lipid A and polysaccharide part) on platelet adhesion to collagen in the presence or absence of the phoinositide 3-kinase (PI 3-K) inhibitor, wortmannin. We found that all forms of LPS and its fragments caused the stimulation of platelet adhesion to collagen, but the polysaccharide part (PS S1959) was the most important in this action. Wortmannin had no effect on LPS-stimulated platelet adhesion to collagen. We conclude that both lipid A and PS S1959 play important roles in LPS-stimulated platelet adhesion to collagen independent on the PI 3-K action.","container-title":"Platelets","DOI":"10.1080/0953710021000024385","ISSN":"0953-7104","issue":"7","journalAbbreviation":"Platelets","language":"eng","note":"PMID: 12487790","page":"419-424","source":"PubMed","title":"Polysaccharide part of Proteus mirabilis lipopolysaccharide may be responsible for the stimulation of platelet adhesion to collagen","volume":"13","author":[{"family":"Zielinski","given":"Tomasz"},{"family":"Wachowicz","given":"Barbara"},{"family":"Saluk-Juszczak","given":"Joanna"},{"family":"Kaca","given":"Wieslaw"}],"issued":{"date-parts":[["2002",11]]}}},{"id":3233,"uris":["http://zotero.org/users/local/6BakpO76/items/ET8QE3BV"],"itemData":{"id":3233,"type":"article-journal","abstract":"The genera Klebsiella and Proteus were independently described in 1885. These Gram-negative rods colonize the human intestinal tract regarded as the main reservoir of these opportunistic pathogens. In favorable conditions they cause infections, often hospital-acquired ones. The activity of K. pneumoniae and P. mirabilis, the leading pathogens within each genus, results in infections of the urinary (UTIs) and respiratory tracts, wounds, bacteremia, affecting mainly immunocompromised patients. P. mirabilis and K. pneumoniae cause polymicrobial UTIs, which are often persistent due to the catheter biofilm formation or increasing resistance of the bacteria to antibiotics. In this situation a need arises to find the antigens with features common to both species. Among many virulence factors produced by both pathogens urease shows some structural similarities but the biggest similarities have been observed in lipids A and the core regions of lipopolysaccharides (LPSs). Both species produce capsular polysaccharides (CPSs) but only in K. pneumoniae these antigens play a crucial role in the serological classification scheme, which in Proteus spp. is based on the structural and serological diversity of LPS O-polysaccharides (OPSs). Structural and serological similarities observed for Klebsiella spp. and Proteus spp. polysaccharides are important in the search for the cross-reacting vaccine antigens.","container-title":"Frontiers in Cellular and Infection Microbiology","DOI":"10.3389/fcimb.2022.991657","ISSN":"2235-2988","journalAbbreviation":"Front Cell Infect Microbiol","language":"eng","note":"PMID: 36339335\nPMCID: PMC9630907","page":"991657","source":"PubMed","title":"Proteus mirabilis and Klebsiella pneumoniae as pathogens capable of causing co-infections and exhibiting similarities in their virulence factors","volume":"12","author":[{"family":"Palusiak","given":"Agata"}],"issued":{"date-parts":[["2022"]]}}},{"id":3231,"uris":["http://zotero.org/users/local/6BakpO76/items/KZGYGZXV"],"itemData":{"id":3231,"type":"article-journal","abstract":"Proteus mirabilis, a Gram-negative rod-shaped bacterium most noted for its swarming motility and urease activity, frequently causes catheter-associated urinary tract infections (CAUTIs) that are often polymicrobial. These infections may be accompanied by urolithiasis, the development of bladder or kidney stones due to alkalinization of urine from urease-catalyzed urea hydrolysis. Adherence of the bacterium to epithelial and catheter surfaces is mediated by 17 different fimbriae, most notably MR/P fimbriae. Repressors of motility are often encoded by these fimbrial operons. Motility is mediated by flagella encoded on a single contiguous 54-kb chromosomal sequence. On agar plates, P. mirabilis undergoes a morphological conversion to a filamentous swarmer cell expressing hundreds of flagella. When swarms from different strains meet, a line of demarcation, a \"Dienes line,\" develops due to the killing action of each strain's type VI secretion system. During infection, histological damage is caused by cytotoxins including hemolysin and a variety of proteases, some autotransported. The pathogenesis of infection, including assessment of individual genes or global screens for virulence or fitness factors has been assessed in murine models of ascending urinary tract infections or CAUTIs using both single-species and polymicrobial models. Global gene expression studies performed in culture and in the murine model have revealed the unique metabolism of this bacterium. Vaccines, using MR/P fimbria and its adhesin, MrpH, have been shown to be efficacious in the murine model. A comprehensive review of factors associated with urinary tract infection is presented, encompassing both historical perspectives and current advances.","container-title":"EcoSal Plus","DOI":"10.1128/ecosalplus.ESP-0009-2017","ISSN":"2324-6200","issue":"1","journalAbbreviation":"EcoSal Plus","language":"eng","note":"PMID: 29424333\nPMCID: PMC5880328","source":"PubMed","title":"Pathogenesis of Proteus mirabilis Infection","volume":"8","author":[{"family":"Armbruster","given":"Chelsie E."},{"family":"Mobley","given":"Harry L. T."},{"family":"Pearson","given":"Melanie M."}],"issued":{"date-parts":[["2018",2]]}}}],"schema":"https://github.com/citation-style-language/schema/raw/master/csl-citation.json"} </w:instrText>
            </w:r>
            <w:r w:rsidR="00656C26" w:rsidRPr="00C42BF6">
              <w:rPr>
                <w:rFonts w:ascii="Arial" w:eastAsia="Arial" w:hAnsi="Arial" w:cs="Arial"/>
                <w:i/>
                <w:iCs/>
                <w:color w:val="000000"/>
              </w:rPr>
              <w:fldChar w:fldCharType="separate"/>
            </w:r>
            <w:r w:rsidR="00F80CF1" w:rsidRPr="00F80CF1">
              <w:rPr>
                <w:rFonts w:ascii="Arial" w:hAnsi="Arial" w:cs="Arial"/>
                <w:color w:val="000000"/>
                <w:vertAlign w:val="superscript"/>
              </w:rPr>
              <w:t>151–154</w:t>
            </w:r>
            <w:r w:rsidR="00656C26" w:rsidRPr="00C42BF6">
              <w:rPr>
                <w:rFonts w:ascii="Arial" w:eastAsia="Arial" w:hAnsi="Arial" w:cs="Arial"/>
                <w:i/>
                <w:iCs/>
                <w:color w:val="000000"/>
              </w:rPr>
              <w:fldChar w:fldCharType="end"/>
            </w:r>
            <w:r w:rsidRPr="00C42BF6">
              <w:rPr>
                <w:rFonts w:ascii="Arial" w:eastAsia="Arial" w:hAnsi="Arial" w:cs="Arial"/>
                <w:i/>
                <w:iCs/>
                <w:color w:val="000000"/>
              </w:rPr>
              <w:t xml:space="preserve"> | Acinetobacter baumannii</w:t>
            </w:r>
            <w:r w:rsidR="00ED7BE3"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{"citationID":"upgNdF1q","properties":{"formattedCitation":"\\super 155\\uc0\\u8211{}158\\nosupersub{}","plainCitation":"155–158","noteIndex":0},"citationItems":[{"id":3250,"uris":["http://zotero.org/users/local/6BakpO76/items/KV9Z7PUP"],"itemData":{"id":3250,"type":"article-journal","abstract":"Acinetobacter baumannii is a major nosocomial pathogen and frequent cause of hospital-acquired pneumonia, surgical wound infections and sepsis. As very little is known of the endotoxic potential of A. baumannii lipopolysaccharide (LPS) with respect to human cells or of its ability to stimulate inflammatory signalling via human Toll-like receptors (TLRs), the biological activity of these endotoxins was investigated in human monocytic THP-1 cells and in TLR-deficient HEK-293 cells transfected with human TLR2 and TLR4 constructs. Endotoxins derived from five clinical isolates of A. baumannii and one of Acinetobacter 'genomospecies 9' showed high potency, which was comparable to that of Escherichia coli strain R1 NCTC 13114 LPS, in the induction of the Limulus amoebocyte reaction and interleukin 8 and tumour necrosis factor alpha release from THP-1 cells. Whole UV-killed cells of A. baumannii and Acinetobacter 'genomospecies 9' stimulated both TLR2- and TLR4-dependent signalling, whereas pure endotoxins of all investigated strains induced signalling via TLR4, but not TLR2.","container-title":"Journal of Medical Microbiology","DOI":"10.1099/jmm.0.46823-0","ISSN":"0022-2615","issue":"Pt 2","journalAbbreviation":"J Med Microbiol","language":"eng","note":"PMID: 17244795","page":"165-171","source":"PubMed","title":"Acinetobacter baumannii lipopolysaccharides are potent stimulators of human monocyte activation via Toll-like receptor 4 signalling","volume":"56","author":[{"family":"Erridge","given":"Clett"},{"family":"Moncayo-Nieto","given":"Olga L."},{"family":"Morgan","given":"Robert"},{"family":"Young","given":"Michelle"},{"family":"Poxton","given":"Ian R."}],"issued":{"date-parts":[["2007",2]]}}},{"id":3246,"uris":["http://zotero.org/users/local/6BakpO76/items/7DPLQ4MK"],"itemData":{"id":3246,"type":"article-journal","abstract":"The genome sequences of a number of Acinetobacter baumannii strains, including representatives of the main epidemic international lineages, have now been determined, and several others are in progress. The study of A. baumannii genomics has provided an expanded view of the adaptation and virulence capacities of this bacterial species, whilst also presenting novel insights into its intraspecies diversity and genome evolution. Genomic analyses have revealed that the current A. baumannii clinical population consists of low-grade pathogens, whose pathogenicity relies mainly on an ability to persist in the hospital setting and survive antibiotic treatment. A. baumannii has a high capacity to acquire new genetic determinants and displays an open pan genome; this feature may have played a crucial role in the evolution of this human opportunistic pathogen towards clinical success.","container-title":"IUBMB life","DOI":"10.1002/iub.531","ISSN":"1521-6551","issue":"12","journalAbbreviation":"IUBMB Life","language":"eng","note":"PMID: 22034231","page":"1068-1074","source":"PubMed","title":"The genomics of Acinetobacter baumannii: insights into genome plasticity, antimicrobial resistance and pathogenicity","title-short":"The genomics of Acinetobacter baumannii","volume":"63","author":[{"family":"Imperi","given":"Francesco"},{"family":"Antunes","given":"Luísa C. S."},{"family":"Blom","given":"Jochen"},{"family":"Villa","given":"Laura"},{"family":"Iacono","given":"Michele"},{"family":"Visca","given":"Paolo"},{"family":"Carattoli","given":"Alessandra"}],"issued":{"date-parts":[["2011",12]]}}},{"id":3243,"uris":["http://zotero.org/users/local/6BakpO76/items/SRUMNQ3B"],"itemData":{"id":3243,"type":"article-journal","abstract":"Acinetobacter spp. have justifiably received significant attention from the public, scientific, and medical communities. Over recent years, Acinetobacter, particularly Acinetobacter baumannii, has become a \"red-alert\" human pathogen, primarily because of its exceptional ability to develop resistance to all currently available antibiotics. This characteristic is compounded by its unique abilities to survive in a diverse range of environments, including those within healthcare institutions, leading to problematic outbreaks. Historically, the virulence of the organism has been questioned, but recent clinical reports suggest that Acinetobacter can cause serious, life-threatening infections. Furthermore, its metabolic adaptability gives it a selective advantage in harsh hospital environments. This review focuses on current understanding of A. baumannii pathogenesis and the model systems used to study this interesting organism.","container-title":"IUBMB life","DOI":"10.1002/iub.533","ISSN":"1521-6551","issue":"12","journalAbbreviation":"IUBMB Life","language":"eng","note":"PMID: 21989983","page":"1055-1060","source":"PubMed","title":"Insights into Acinetobacter baumannii pathogenicity","volume":"63","author":[{"family":"Cerqueira","given":"Gustavo M."},{"family":"Peleg","given":"Anton Y."}],"issued":{"date-parts":[["2011",12]]}}},{"id":3241,"uris":["http://zotero.org/users/local/6BakpO76/items/IKHT5PBS"],"itemData":{"id":3241,"type":"article-journal","abstract":"Acinetobacter baumannii is a nosocomial pathogen that causes ventilator-associated as well as bloodstream infections in critically ill patients, and the spread of multidrug-resistant Acinetobacter strains is cause for concern. Much of the success of A. baumannii can be directly attributed to its plastic genome, which rapidly mutates when faced with adversity and stress. However, fundamental virulence mechanisms beyond canonical drug resistance were recently uncovered that enable A. baumannii and, to a limited extent, other medically relevant Acinetobacter species to successfully thrive in the health-care environment. In this Review, we explore the molecular features that promote environmental persistence, including desiccation resistance, biofilm formation and motility, and we discuss the most recently identified virulence factors, such as secretion systems, surface glycoconjugates and micronutrient acquisition systems that collectively enable these pathogens to successfully infect their hosts.","container-title":"Nature Reviews. Microbiology","DOI":"10.1038/nrmicro.2017.148","ISSN":"1740-1534","issue":"2","journalAbbreviation":"Nat Rev Microbiol","language":"eng","note":"PMID: 29249812\nPMCID: PMC6571207","page":"91-102","source":"PubMed","title":"Uncovering the mechanisms of Acinetobacter baumannii virulence","volume":"16","author":[{"family":"Harding","given":"Christian M."},{"family":"Hennon","given":"Seth W."},{"family":"Feldman","given":"Mario F."}],"issued":{"date-parts":[["2018",2]]}}}],"schema":"https://github.com/citation-style-language/schema/raw/master/csl-citation.json"} </w:instrText>
            </w:r>
            <w:r w:rsidR="00ED7BE3" w:rsidRPr="00C42BF6">
              <w:rPr>
                <w:rFonts w:ascii="Arial" w:eastAsia="Arial" w:hAnsi="Arial" w:cs="Arial"/>
                <w:i/>
                <w:iCs/>
                <w:color w:val="000000"/>
              </w:rPr>
              <w:fldChar w:fldCharType="separate"/>
            </w:r>
            <w:r w:rsidR="00F80CF1" w:rsidRPr="00F80CF1">
              <w:rPr>
                <w:rFonts w:ascii="Arial" w:hAnsi="Arial" w:cs="Arial"/>
                <w:color w:val="000000"/>
                <w:vertAlign w:val="superscript"/>
              </w:rPr>
              <w:t>155–158</w:t>
            </w:r>
            <w:r w:rsidR="00ED7BE3" w:rsidRPr="00C42BF6">
              <w:rPr>
                <w:rFonts w:ascii="Arial" w:eastAsia="Arial" w:hAnsi="Arial" w:cs="Arial"/>
                <w:i/>
                <w:iCs/>
                <w:color w:val="000000"/>
              </w:rPr>
              <w:fldChar w:fldCharType="end"/>
            </w:r>
            <w:r w:rsidRPr="00C42BF6">
              <w:rPr>
                <w:rFonts w:ascii="Arial" w:eastAsia="Arial" w:hAnsi="Arial" w:cs="Arial"/>
                <w:i/>
                <w:iCs/>
                <w:color w:val="000000"/>
              </w:rPr>
              <w:t xml:space="preserve"> | Helicobacter pylori</w:t>
            </w:r>
            <w:r w:rsidR="00ED7BE3"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{"citationID":"un7L0gFx","properties":{"formattedCitation":"\\super 124\\uc0\\u8211{}127\\nosupersub{}","plainCitation":"124–127","noteIndex":0},"citationItems":[{"id":3158,"uris":["http://zotero.org/users/local/6BakpO76/items/XAAPW6LR"],"itemData":{"id":3158,"type":"article-journal","abstract":"The tight control of the innate and adaptive immune responses in the stomach mucosa during chronic Helicobacter pylori infection is of prime importance for the bacteria to persist and for the host to prevent inflammation-driven diseases. This review summarizes recent data on the roles of innate and adaptive immune responses during H. pylori/host interactions. In addition, the latest preclinical developments of H. pylori vaccines are discussed with a special focus on the clinical trial reported by Zeng et al., who provided evidence that oral vaccination significantly reduces the acquisition of natural H. pylori infection in children.","container-title":"Helicobacter","DOI":"10.1111/hel.12336","ISSN":"1523-5378","journalAbbreviation":"Helicobacter","language":"eng","note":"PMID: 27531535","page":"26-29","source":"PubMed","title":"Inflammation, immunity, and vaccines for Helicobacter pylori infection","volume":"21 Suppl 1","author":[{"family":"Velin","given":"Dominique"},{"family":"Straubinger","given":"Kathrin"},{"family":"Gerhard","given":"Markus"}],"issued":{"date-parts":[["2016",9]]}}},{"id":3156,"uris":["http://zotero.org/users/local/6BakpO76/items/9KHLMFAS"],"itemData":{"id":3156,"type":"article-journal","abstract":"BACKGROUND: Observational studies have shown that Helicobacter pylori (H. pylori) infection and H. pylori antibodies are associated with an increased risk of stroke. However, which and how H. pylori antibodies serve as the causal determinant of the development of stroke remains largely unknown.\nMETHODS: Genome-wide association studies (GWAS) on seven different antibodies of H. pylori-specific proteins, stroke, and stroke subtypes were included in this study. Mendelian randomization (MR) and multivariable MR (MVMR) analysis were performed to assess the causal associations between H. pylori antibodies and the development of stroke and to determine the potential mechanisms underlying the associations.\nRESULTS: Genetically predicted serum H. pylori vacuolating cytotoxin-A (VacA) antibody level was associated with an increased risk of all-cause stroke (odds ratio [OR] = 1.04, 95% CI 1.01-1.07, P = 0.017) and cardioembolic stroke (CES, OR = 1.11, 95% CI 1.04-1.18, P = 0.001). The results of multivariable MR (MVMR) showed that C-reactive protein (CRP), but not monocyte chemoattractant protein-1 and peptic ulcer, mediated the causal effects of VacA-positive H. pylori infection on all-cause stroke and CES. No strong causal associations were found between other H. pylori antibodies and stroke and its subtypes.\nCONCLUSIONS: Our results demonstrate that H. pylori VacA antibody is the only causal determinant associated with the risk of stroke in the spectrum of H. pylori-related antibodies, in which CRP may mediate the association. This study suggests that inhibition of the CRP signaling pathway may reduce the risk of stroke in patients with VacA-positive H. pylori infection.","container-title":"Inflammation Research: Official Journal of the European Histamine Research Society ... [et Al.]","DOI":"10.1007/s00011-023-01740-0","ISSN":"1420-908X","issue":"6","journalAbbreviation":"Inflamm Res","language":"eng","note":"PMID: 37184658","page":"1193-1202","source":"PubMed","title":"Causal associations of circulating Helicobacter pylori antibodies with stroke and the mediating role of inflammation","volume":"72","author":[{"family":"Guo","given":"Xingzhi"},{"family":"Tang","given":"Peng"},{"family":"Zhang","given":"Xin"},{"family":"Li","given":"Rui"}],"issued":{"date-parts":[["2023",6]]}}},{"id":3154,"uris":["http://zotero.org/users/local/6BakpO76/items/9E5R7BKJ"],"itemData":{"id":3154,"type":"article-journal","abstract":"Helicobacter pylori is a spiral-shaped, flagellated, microaerophilic Gram-negative bacillus which colonizes the gastric mucosa of more than 50% of human population. The chronic infection generates a state of inflammation, which however is asymptomatic in the majority of the subjects. Nevertheless, in a subset of the H. pylori-infected population, the gastric inflammation may evolve toward chronic gastritis, peptic ulcer, gastric mucosa-associated lymphoid tissue (MALT) lymphoma, and gastric cancer. In brief, the stages of the H. pylori colonization are the following: crossing of the gastric mucus layer, adhesion to the gastric epithelium, and then obtaining nutrients while avoiding to be defeated by the host immune response. For some H. pylori colonization/virulence factors a specific role has been suggested in the development of the inflammation and in the impact on the host immune system. On the other hand, some host's factors have been found relevant in originating chronic gastric inflammation and the subsequent pathological outcome in the presence of H. pylori infection. In other words, both bacterial action and host response contribute to the pathogenesis. The host-pathogen co-adaptation resulted in a H. pylori colonization that in most of the cases might remain harmless; however, the concomitance of particular genotypes of both pathogen and host may concur to the development of severe pathology. Although a large body of clinical and experimental observations have been provided since the discovery of H. pylori, a further knowledge of the mechanisms of host-pathogen interaction and of those that lead to achieve protective immunity against this pathogen is still necessary to guide and make efficacious the fight against H. pylori.","container-title":"Current Pharmaceutical Design","DOI":"10.2174/138161210794519075","ISSN":"1873-4286","issue":"38","journalAbbreviation":"Curr Pharm Des","language":"eng","note":"PMID: 21184659","page":"4225-4236","source":"PubMed","title":"Helicobacter pylori and inflammation","volume":"16","author":[{"family":"Ruggiero","given":"Paolo"}],"issued":{"date-parts":[["2010"]]}}},{"id":3152,"uris":["http://zotero.org/users/local/6BakpO76/items/IHXT8D5H"],"itemData":{"id":3152,"type":"article-journal","abstract":"Helicobacter pylori (H. pylori) represents one of the most widespread bacterial infections globally. Infection causes chronic gastritis and increases the risk of peptic ulcer disease, gastric adenocarcinoma, and mucosa-associated lymphoid tissue lymphoma. The pioneering discovery of H. pylori by Marshall and Warren in the early 1980s has initiated fervent research into H. pylori as a pathogen ever since. This chapter aims to provide an overview of our understanding of H. pylori infection and its management, with a focus on current options for diagnosis, the challenges associated with H. pylori eradication, and the need for alternative therapeutic strategies based on furthering our understanding of host: H. pylori interactions.","container-title":"Methods in Molecular Biology (Clifton, N.J.)","DOI":"10.1007/978-1-0716-1302-3_1","ISSN":"1940-6029","journalAbbreviation":"Methods Mol Biol","language":"eng","note":"PMID: 33765303","page":"1-14","source":"PubMed","title":"An Overview of Helicobacter pylori Infection","volume":"2283","author":[{"family":"FitzGerald","given":"Rebecca"},{"family":"Smith","given":"Sinéad M."}],"issued":{"date-parts":[["2021"]]}}}],"schema":"https://github.com/citation-style-language/schema/raw/master/csl-citation.json"} </w:instrText>
            </w:r>
            <w:r w:rsidR="00ED7BE3" w:rsidRPr="00C42BF6">
              <w:rPr>
                <w:rFonts w:ascii="Arial" w:eastAsia="Arial" w:hAnsi="Arial" w:cs="Arial"/>
                <w:i/>
                <w:iCs/>
                <w:color w:val="000000"/>
              </w:rPr>
              <w:fldChar w:fldCharType="separate"/>
            </w:r>
            <w:r w:rsidR="00F80CF1" w:rsidRPr="00F80CF1">
              <w:rPr>
                <w:rFonts w:ascii="Arial" w:hAnsi="Arial" w:cs="Arial"/>
                <w:color w:val="000000"/>
                <w:vertAlign w:val="superscript"/>
              </w:rPr>
              <w:t>124–127</w:t>
            </w:r>
            <w:r w:rsidR="00ED7BE3" w:rsidRPr="00C42BF6">
              <w:rPr>
                <w:rFonts w:ascii="Arial" w:eastAsia="Arial" w:hAnsi="Arial" w:cs="Arial"/>
                <w:i/>
                <w:iCs/>
                <w:color w:val="000000"/>
              </w:rPr>
              <w:fldChar w:fldCharType="end"/>
            </w:r>
            <w:r w:rsidRPr="00C42BF6">
              <w:rPr>
                <w:rFonts w:ascii="Arial" w:eastAsia="Arial" w:hAnsi="Arial" w:cs="Arial"/>
                <w:color w:val="000000"/>
              </w:rPr>
              <w:t> </w:t>
            </w:r>
          </w:p>
        </w:tc>
      </w:tr>
      <w:tr w:rsidR="00580A30" w:rsidRPr="00C42BF6" w14:paraId="3863661D" w14:textId="77777777" w:rsidTr="1FC84CC2">
        <w:trPr>
          <w:trHeight w:val="1125"/>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5605AF"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Mucosal Degrading </w:t>
            </w:r>
          </w:p>
          <w:p w14:paraId="5524E04B"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Bacteria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BD6F4C" w14:textId="10CB17C0" w:rsidR="277E52C9" w:rsidRPr="00C42BF6" w:rsidRDefault="2EBACE1F" w:rsidP="2EBACE1F">
            <w:pPr>
              <w:jc w:val="center"/>
              <w:rPr>
                <w:rFonts w:ascii="Arial" w:eastAsia="Arial" w:hAnsi="Arial" w:cs="Arial"/>
                <w:color w:val="000000"/>
              </w:rPr>
            </w:pPr>
            <w:r w:rsidRPr="00C42BF6">
              <w:rPr>
                <w:rFonts w:ascii="Arial" w:eastAsia="Arial" w:hAnsi="Arial" w:cs="Arial"/>
                <w:i/>
                <w:iCs/>
                <w:color w:val="000000"/>
              </w:rPr>
              <w:t>Bacteroides fragilis | Clostridium perfringens</w:t>
            </w:r>
            <w:r w:rsidR="002D0474"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{"citationID":"MEUJ3WGp","properties":{"formattedCitation":"\\super 159,160\\nosupersub{}","plainCitation":"159,160","noteIndex":0},"citationItems":[{"id":3292,"uris":["http://zotero.org/users/local/6BakpO76/items/4V8HNXGB"],"itemData":{"id":3292,"type":"article-journal","abstract":"The gastrointestinal (GI) tract of humans and animals is lined with mucus that serves as a barrier between the gut microbiota and the epithelial layer of the intestine. As the proteins present in mucus are typically heavily glycosylated, such as the mucins, several enteric commensal and pathogenic bacterial species are well-adapted to this rich carbon source and their genomes are replete with carbohydrate-active enzymes targeted toward dismantling the glycans and proteins present in mucus. One such species is Clostridium perfringens, a Gram-positive opportunistic pathogen indigenous to the gut of humans and animals. The genome of C. perfringens encodes numerous carbohydrate-active enzymes that are predicted or known to target glycosidic linkages within or on the termini of mucus glycans. Through this enzymatic activity, the degradation of the mucosal layer by C. perfringens has been implicated in a number of GI diseases, the most severe of which is necrotic enteritis. In this review, we describe the wide array of extracellular glycoside hydrolases, and their accessory modules, that is possessed by C. perfringens, and examine the unique multimodularity of these proteins in the context of degrading the glycoconjugates in mucus as a potential component of disease.","container-title":"Glycobiology","DOI":"10.1093/glycob/cwaa050","ISSN":"1460-2423","issue":"6","journalAbbreviation":"Glycobiology","language":"eng","note":"PMID: 32472136","page":"681-690","source":"PubMed","title":"The glycoconjugate-degrading enzymes of Clostridium perfringens: Tailored catalysts for breaching the intestinal mucus barrier","title-short":"The glycoconjugate-degrading enzymes of Clostridium perfringens","volume":"31","author":[{"family":"Low","given":"Kristin E."},{"family":"Smith","given":"Steven P."},{"family":"Abbott","given":"D. Wade"},{"family":"Boraston","given":"Alisdair B."}],"issued":{"date-parts":[["2021",6,29]]}}},{"id":3289,"uris":["http://zotero.org/users/local/6BakpO76/items/CZMVZRYT"],"itemData":{"id":3289,"type":"article-journal","abstract":"Epsilon toxin is a potent neurotoxin produced by Clostridium perfringens types B and D, an anaerobic bacterium that causes enterotoxaemia in ruminants. In the affected animal, it causes oedema of the lungs and brain by damaging the endothelial cells, inducing physiological and morphological changes. Although it is believed to compromise the intestinal barrier, thus entering the gut vasculature, little is known about the mechanism underlying this process. This study characterizes the effects of epsilon toxin on fluid transport and bioelectrical parameters in the small intestine of mice and rats. The enteropooling and the intestinal loop tests, together with the single-pass perfusion assay and in vitro and ex vivo analysis in Ussing's chamber, were all used in combination with histological and ultrastructural analysis of mice and rat small intestine, challenged with or without C. perfringens epsilon toxin. Luminal epsilon toxin induced a time and concentration dependent intestinal fluid accumulation and fall of the transepithelial resistance. Although no evident histological changes were observed, opening of the mucosa tight junction in combination with apoptotic changes in the lamina propria were seen with transmission electron microscopy. These results indicate that C. perfringens epsilon toxin alters the intestinal permeability, predominantly by opening the mucosa tight junction, increasing its permeability to macromolecules, and inducing further degenerative changes in the lamina propria of the bowel.","container-title":"PloS One","DOI":"10.1371/journal.pone.0007065","ISSN":"1932-6203","issue":"9","journalAbbreviation":"PLoS One","language":"eng","note":"PMID: 19763257\nPMCID: PMC2739291","page":"e7065","source":"PubMed","title":"Clostridium perfringens epsilon toxin increases the small intestinal permeability in mice and rats","volume":"4","author":[{"family":"Goldstein","given":"Jorge"},{"family":"Morris","given":"Winston E."},{"family":"Loidl","given":"César Fabián"},{"family":"Tironi-Farinati","given":"Carla"},{"family":"McClane","given":"Bruce A."},{"family":"Uzal","given":"Francisco A."},{"family":"Fernandez Miyakawa","given":"Mariano E."}],"issued":{"date-parts":[["2009",9,18]]}}}],"schema":"https://github.com/citation-style-language/schema/raw/master/csl-citation.json"} </w:instrText>
            </w:r>
            <w:r w:rsidR="002D0474" w:rsidRPr="00C42BF6">
              <w:rPr>
                <w:rFonts w:ascii="Arial" w:eastAsia="Arial" w:hAnsi="Arial" w:cs="Arial"/>
                <w:i/>
                <w:iCs/>
                <w:color w:val="000000"/>
              </w:rPr>
              <w:fldChar w:fldCharType="separate"/>
            </w:r>
            <w:r w:rsidR="00F80CF1" w:rsidRPr="00F80CF1">
              <w:rPr>
                <w:rFonts w:ascii="Arial" w:hAnsi="Arial" w:cs="Arial"/>
                <w:color w:val="000000"/>
                <w:vertAlign w:val="superscript"/>
              </w:rPr>
              <w:t>159,160</w:t>
            </w:r>
            <w:r w:rsidR="002D0474" w:rsidRPr="00C42BF6">
              <w:rPr>
                <w:rFonts w:ascii="Arial" w:eastAsia="Arial" w:hAnsi="Arial" w:cs="Arial"/>
                <w:i/>
                <w:iCs/>
                <w:color w:val="000000"/>
              </w:rPr>
              <w:fldChar w:fldCharType="end"/>
            </w:r>
            <w:r w:rsidRPr="00C42BF6">
              <w:rPr>
                <w:rFonts w:ascii="Arial" w:eastAsia="Arial" w:hAnsi="Arial" w:cs="Arial"/>
                <w:i/>
                <w:iCs/>
                <w:color w:val="000000"/>
              </w:rPr>
              <w:t xml:space="preserve"> | Enterococcus faecalis</w:t>
            </w:r>
            <w:r w:rsidR="00D70011"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{"citationID":"oc1C6AJI","properties":{"formattedCitation":"\\super 128\\uc0\\u8211{}130\\nosupersub{}","plainCitation":"128–130","noteIndex":0},"citationItems":[{"id":3166,"uris":["http://zotero.org/users/local/6BakpO76/items/V3TQCEUS"],"itemData":{"id":3166,"type":"article-journal","abstract":"The aim of this study was to investigate how carbohydrates (glucose or sucrose) affect the characteristics of Enterococcus faecalis (E. faecalis) planktonic and biofilm in vitro. For this study, E. faecalis was cultured in tryptone-yeast extract broth with 0% glucose + 0% sucrose, 0.5% glucose, 1% glucose, 0.5% sucrose, or 1% sucrose. Viability of E. faecalis was examined by colony forming unit counting assays. Biofilm formation was assessed by measuring extracellular DNA (eDNA), a component of the biofilm matrix. Quantitative real-time PCR (qRT-PCR) was performed to investigate the expression of virulence-associated genes. Field emission scanning electron microscopy analysis, confocal laser scanning microscopy analysis, and crystal violet colorimetric assay were conducted to study E. faecalis biofilms. E. faecalis showed the highest viability and eDNA levels in 1% sucrose medium in biofilms. The result of qRT-PCR showed that the virulence-associated genes expressed highest in 1% sucrose-grown biofilms and in 1% glucose-grown planktonic cultures. E. faecalis showed highly aggregated biofilms and higher bacteria and exopolysaccharide (EPS) bio-volume in sucrose than in 0% glucose + 0% sucrose or glucose. The results indicate that the production of eDNA and EPS and expression of virulence-associated genes in E. faecalis are affected by the concentration of carbohydrates in biofilm or planktonic culture.","container-title":"Scientific Reports","DOI":"10.1038/s41598-020-78998-5","ISSN":"2045-2322","issue":"1","journalAbbreviation":"Sci Rep","language":"eng","note":"PMID: 33318537\nPMCID: PMC7736865","page":"21867","source":"PubMed","title":"Characterization of Enterococcus faecalis in different culture conditions","volume":"10","author":[{"family":"Kim","given":"Mi-Ah"},{"family":"Rosa","given":"Vinicius"},{"family":"Min","given":"Kyung-San"}],"issued":{"date-parts":[["2020",12,14]]}}},{"id":3163,"uris":["http://zotero.org/users/local/6BakpO76/items/XKTRCUMT"],"itemData":{"id":3163,"type":"chapter","abstract":"During the past few decades, enterococci have emerged as important healthcare-associated pathogens (Arias &amp; Murray, 2012; Austin, Bonten, Weinstein, Slaughter, &amp; Anderson, 1999; Boyce, et al., 1994; Benenson, et al., 2009; Goossens, 1998; Handwerger, et al., 1993). The continuing progress of modern medical care toward more intensive and invasive medical therapies for human disease has undoubtedly contributed to the increased prevalence of these remarkable opportunistic pathogens. This trend has also been attributed to the increasing antibiotic resistance among clinical isolates of enterococci. The rapid spread of enterococci with resistance to vancomycin (VRE) has been of particular concern. Many healthcare-associated strains that are resistant to vancomycin also show resistance to penicillin, as well as high-level resistance (HLR) to aminoglycosides. Finally, as has historically been the case with enterococci, resistance is emerging to newer agents used to treat VRE infections, such as linezolid, quinupristin/dalfopristin, and daptomycin (Chow, Donahedian, &amp; Zervos, 1997; Herrero, Issa, &amp; Patel, 2002; Sabol, Patterson, Lewis II, Aaron, Cadena, &amp; Jorgensen, 2005). Over the past two decades, Enterococcus faecium has emerged as a leading cause of multidrug-resistant enterococcal infection in the United States (Hidron, et al., 2008). E. faecium is intrinsically more antibiotic-resistant than E. faecalis, with more than half of its pathogenic isolates expressing resistance to vancomycin, ampicillin, and high-levels of aminoglycosides. Treating infections caused by this species can be difficult, and the magnitude of the problem is vast. Approximately 40% of medical intensive care units in a recent National Healthcare Safety Network report found that the majority of device-associated infections (namely, infections due to central lines, urinary drainage catheters, and ventilators) were due to vancomycin- and ampicillin-resistant E. faecium (80% and 90.4%, respectively) (Hidron, et al., 2008). Although they were often resistant to high-level aminoglycosides and some macrolides, healthcare-associated infections in these units due to E. faecalis remained largely susceptible to vancomycin and ampicillin (93.1% and 96.2%, respectively) for reasons that are not entirely known. Other enterococcal species are rarer causes of human infection, including E. durans, E. avium, E. casseliflavus, E. hirae, E. gallinarum, E. raffinosus, and E. muntdii (Gordon, et al., 1992). In the following sections, the common human infections caused by enterococci are briefly described. The epidemiology of antibiotic-resistant enterococci in healthcare settings is summarized, including the role of colonization pressure and host factors on the emergence of VRE in clinical settings. Finally, the current challenges facing clinicians who treat antibiotic-resistant enterococcal infections are reviewed.","call-number":"NBK190429","container-title":"Enterococci: From Commensals to Leading Causes of Drug Resistant Infection","event-place":"Boston","language":"eng","note":"PMID: 24649504","publisher":"Massachusetts Eye and Ear Infirmary","publisher-place":"Boston","source":"PubMed","title":"Enterococcal Disease, Epidemiology, and Implications for Treatment","URL":"http://www.ncbi.nlm.nih.gov/books/NBK190429/","author":[{"family":"Agudelo Higuita","given":"Nelson I."},{"family":"Huycke","given":"Mark M."}],"editor":[{"family":"Gilmore","given":"Michael S."},{"family":"Clewell","given":"Don B."},{"family":"Ike","given":"Yasuyoshi"},{"family":"Shankar","given":"Nathan"}],"accessed":{"date-parts":[["2023",10,24]]},"issued":{"date-parts":[["2014"]]}}},{"id":3160,"uris":["http://zotero.org/users/local/6BakpO76/items/CHHUJ2G2"],"itemData":{"id":3160,"type":"article-journal","abstract":"This study was to investigate the changes in gut microbiota in maintenance hemodialysis patients and analyze their impact on patient's microinflammation status. For this purpose, thirty-nine chronic kidney disease (CKD) maintenance hemodialysis patients admitted to our hospital from March 2019 to March 2022 were selected as the experimental group, and 40 healthy individuals with examination results during the same period were selected as the control group. The levels of gut microbiota (Lactobacillus, Bifidobacterium, Escherichia coli, and Enterococcus faecalis) and microinflammation indicators [interleukin-6 (IL-6), tumor necrosis factor α (TNF-α), and high-sensitivity C-reactive protein (hs-CRP)] were measured in both groups. The relationship between changes in gut microbiota and microinflammation in maintenance hemodialysis CKD patients was analyzed. Results showed that the levels of Lactobacillus and Bifidobacterium in the experimental group were significantly lower than those in the control group (all, P&lt;0.05), while the levels of Escherichia coli and Enterococcus faecalis in the experimental group were significantly higher than those in the control group (all, P&lt;0.05). The IL-6, TNF-α, and hs-CRP levels in the experimental group were significantly higher than those in the control group (all, P&lt;0.05). Using microinflammation indicators as dependent variables and microbiota indicators as independent variables for stepwise regression analysis, the results showed that the levels of Lactobacillus were negatively correlated with IL-6 and TNF-α levels in patients (r=-0.358, -0.942, P&lt;0.05); the levels of Bifidobacterium were negatively correlated with IL-6, TNF-α, and hs-CRP levels in patients (r=-0.394, -0.211, -0.547, P&lt;0.05); the levels of Escherichia coli were positively correlated with IL-6 and TNF-α levels in patients (r=0.221, 0.268, P&lt;0.05); the levels of Enterococcus faecalis were positively correlated with IL-6 and hs-CRP levels in patients (r=0.253, 0.378, P&lt;0.05). In conclusion, patients with maintenance hemodialysis for CKD commonly exhibit gut microbiota dysbiosis and varying degrees of low-grade inflammation. Compared to healthy individuals, maintenance hemodialysis patients with CKD have lower levels of Bifidobacterium and Lactobacillus and higher levels of Escherichia coli and Enterococcus in their gut. Bifidobacterium, Lactobacillus, Escherichia coli, and Enterococcus all have a certain impact on the low-grade inflammation status of patients with maintenance hemodialysis for CKD.","container-title":"Cellular and Molecular Biology (Noisy-Le-Grand, France)","DOI":"10.14715/cmb/2023.69.8.15","ISSN":"1165-158X","issue":"8","journalAbbreviation":"Cell Mol Biol (Noisy-le-grand)","language":"eng","note":"PMID: 37715414","page":"96-101","source":"PubMed","title":"Changes of Gut Microbiota in Maintenance Hemodialysis Patients and Their Impact on Patient's Microinflammation Status","volume":"69","author":[{"family":"Zhang","given":"Xiaopan"},{"family":"Wang","given":"Yilin"},{"family":"Yin","given":"Ying"},{"family":"Sun","given":"Bo"},{"family":"Chen","given":"Guangren"},{"family":"Chen","given":"Fengling"}],"issued":{"date-parts":[["2023",8,31]]}}}],"schema":"https://github.com/citation-style-language/schema/raw/master/csl-citation.json"} </w:instrText>
            </w:r>
            <w:r w:rsidR="00D70011" w:rsidRPr="00C42BF6">
              <w:rPr>
                <w:rFonts w:ascii="Arial" w:eastAsia="Arial" w:hAnsi="Arial" w:cs="Arial"/>
                <w:i/>
                <w:iCs/>
                <w:color w:val="000000"/>
              </w:rPr>
              <w:fldChar w:fldCharType="separate"/>
            </w:r>
            <w:r w:rsidR="00F80CF1" w:rsidRPr="00F80CF1">
              <w:rPr>
                <w:rFonts w:ascii="Arial" w:hAnsi="Arial" w:cs="Arial"/>
                <w:color w:val="000000"/>
                <w:vertAlign w:val="superscript"/>
              </w:rPr>
              <w:t>128–130</w:t>
            </w:r>
            <w:r w:rsidR="00D70011" w:rsidRPr="00C42BF6">
              <w:rPr>
                <w:rFonts w:ascii="Arial" w:eastAsia="Arial" w:hAnsi="Arial" w:cs="Arial"/>
                <w:i/>
                <w:iCs/>
                <w:color w:val="000000"/>
              </w:rPr>
              <w:fldChar w:fldCharType="end"/>
            </w:r>
            <w:r w:rsidRPr="00C42BF6">
              <w:rPr>
                <w:rFonts w:ascii="Arial" w:eastAsia="Arial" w:hAnsi="Arial" w:cs="Arial"/>
                <w:i/>
                <w:iCs/>
                <w:color w:val="000000"/>
              </w:rPr>
              <w:t xml:space="preserve"> | Fusobacterium nucleatum</w:t>
            </w:r>
            <w:r w:rsidR="00FA7B6B"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{"citationID":"inZ8rHvs","properties":{"formattedCitation":"\\super 113\\uc0\\u8211{}116\\nosupersub{}","plainCitation":"113–116","noteIndex":0},"citationItems":[{"id":3129,"uris":["http://zotero.org/users/local/6BakpO76/items/FY92ASEB"],"itemData":{"id":3129,"type":"article-journal","abstract":"There is a growing level of interest in the potential role inflammation has on the initiation and progression of malignancy. Notable examples include Helicobacter pylori-mediated inflammation in gastric cancer and more recently Fusobacterium nucleatum-mediated inflammation in colorectal cancer. Fusobacterium nucleatum is a Gram-negative anaerobic bacterium that was first isolated from the oral cavity and identified as a periodontal pathogen. Biofilms on oral squamous cell carcinomas are enriched with anaerobic periodontal pathogens, including F. nucleatum, which has prompted hypotheses that this bacterium could contribute to oral cancer development. Recent studies have demonstrated that F. nucleatum can promote cancer by several mechanisms; activation of cell proliferation, promotion of cellular invasion, induction of chronic inflammation and immune evasion. This review provides an update on the association between F. nucleatum and oral carcinogenesis, and provides insights into the possible mechanisms underlying it.","container-title":"BMC cancer","DOI":"10.1186/s12885-021-08903-4","ISSN":"1471-2407","issue":"1","journalAbbreviation":"BMC Cancer","language":"eng","note":"PMID: 34774023\nPMCID: PMC8590362","page":"1212","source":"PubMed","title":"Fusobacterium nucleatum and oral cancer: a critical review","title-short":"Fusobacterium nucleatum and oral cancer","volume":"21","author":[{"family":"McIlvanna","given":"Emily"},{"family":"Linden","given":"Gerard J."},{"family":"Craig","given":"Stephanie G."},{"family":"Lundy","given":"Fionnuala T."},{"family":"James","given":"Jacqueline A."}],"issued":{"date-parts":[["2021",11,13]]}}},{"id":3126,"uris":["http://zotero.org/users/local/6BakpO76/items/W3I2AY7C"],"itemData":{"id":3126,"type":"article-journal","abstract":"Multiple studies have implicated microbes in the development of inflammation, but the mechanisms remain unknown. Bacteria in the genus Fusobacterium have been identified in the intestinal mucosa of patients with digestive diseases; thus, we hypothesized that Fusobacterium nucleatum promotes intestinal inflammation. The addition of &gt;50 kDa F. nucleatum conditioned media, which contain outer membrane vesicles (OMVs), to colonic epithelial cells stimulated secretion of the proinflammatory cytokines interleukin-8 (IL-8) and tumor necrosis factor (TNF). In addition, purified F. nucleatum OMVs, but not compounds &lt;50 kDa, stimulated IL-8 and TNF production; which was decreased by pharmacological inhibition of Toll-like receptor 4 (TLR4). These effects were linked to downstream effectors p-ERK, p-CREB, and NF-κB. F. nucleatum &gt;50-kDa compounds also stimulated TNF secretion, p-ERK, p-CREB, and NF-κB activation in human colonoid monolayers. In mice harboring a human microbiota, pretreatment with antibiotics and a single oral gavage of F. nucleatum resulted in inflammation. Compared to mice receiving vehicle control, mice treated with F. nucleatum showed disruption of the colonic architecture, with increased immune cell infiltration and depleted mucus layers. Analysis of mucosal gene expression revealed increased levels of proinflammatory cytokines (KC, TNF, IL-6, IFN-γ, and MCP-1) at day 3 and day 5 in F. nucleatum-treated mice compared to controls. These proinflammatory effects were absent in mice who received F. nucleatum without pretreatment with antibiotics, suggesting that an intact microbiome is protective against F. nucleatum-mediated immune responses. These data provide evidence that F. nucleatum promotes proinflammatory signaling cascades in the context of a depleted intestinal microbiome.IMPORTANCE Several studies have identified an increased abundance of Fusobacterium in the intestinal tracts of patients with colon cancer, liver cirrhosis, primary sclerosing cholangitis, gastroesophageal reflux disease, HIV infection, and alcoholism. However, the direct mechanism(s) of action of Fusobacterium on pathophysiological within the gastrointestinal tract is unclear. These studies have identified that F. nucleatum subsp. polymorphum releases outer membrane vesicles which activate TLR4 and NF-κB to stimulate proinflammatory signals in vitro Using mice harboring a human microbiome, we demonstrate that F. nucleatum can promote inflammation, an effect which required antibiotic-mediated alterations in the gut microbiome. Collectively, these results suggest a mechanism by which F. nucleatum may contribute to intestinal inflammation.","container-title":"mBio","DOI":"10.1128/mBio.02706-20","ISSN":"2150-7511","issue":"2","journalAbbreviation":"mBio","language":"eng","note":"PMID: 33653893\nPMCID: PMC8092269","page":"e02706-20","source":"PubMed","title":"Fusobacterium nucleatum Secretes Outer Membrane Vesicles and Promotes Intestinal Inflammation","volume":"12","author":[{"family":"Engevik","given":"Melinda A."},{"family":"Danhof","given":"Heather A."},{"family":"Ruan","given":"Wenly"},{"family":"Engevik","given":"Amy C."},{"family":"Chang-Graham","given":"Alexandra L."},{"family":"Engevik","given":"Kristen A."},{"family":"Shi","given":"Zhongcheng"},{"family":"Zhao","given":"Yanling"},{"family":"Brand","given":"Colleen K."},{"family":"Krystofiak","given":"Evan S."},{"family":"Venable","given":"Susan"},{"family":"Liu","given":"Xinli"},{"family":"Hirschi","given":"Kendal D."},{"family":"Hyser","given":"Joseph M."},{"family":"Spinler","given":"Jennifer K."},{"family":"Britton","given":"Robert A."},{"family":"Versalovic","given":"James"}],"issued":{"date-parts":[["2021",3,2]]}}},{"id":3124,"uris":["http://zotero.org/users/local/6BakpO76/items/BLEAZ4RY"],"itemData":{"id":3124,"type":"article-journal","abstract":"Fusobacterium nucleatum is an identified proinflammatory autochthonous bacterium implicated in human colorectal cancer. It is also abundantly found in patients suffering from chronic gut inflammation (inflammatory bowel disease), consequently contributing to the pathogenesis of colorectal cancer. Majority of the studies have reported that colorectal tumors/colorectal adenocarcinomas are highly enriched with F. nucleatum compared to noninvolved adjacent colonic tissue. During the course of multistep development of colorectal cancer, tumors have evolved many mechanisms to resist the antitumor immune response. One of such favorite ploy is providing access to pathogenic bacteria, especially F. nucleatum in the colorectal tumor microenvironment, wherein both (colorectal tumors and F. nucleatum) exert profound effect on each other, consequently attracting tumor-permissive myeloid-derived suppressor cells, suppressing cytotoxic CD8+ T cells and inhibiting NK cell-mediated cancer cell killing. In this review, we have primarily focused on how this bug modulates the immune response, consequently rendering the antitumor immune cells inactive.","container-title":"Tumour Biology: The Journal of the International Society for Oncodevelopmental Biology and Medicine","DOI":"10.1007/s13277-015-4724-0","ISSN":"1423-0380","issue":"3","journalAbbreviation":"Tumour Biol","language":"eng","note":"PMID: 26718210","page":"2805-2810","source":"PubMed","title":"Fusobacterium nucleatum, inflammation, and immunity: the fire within human gut","title-short":"Fusobacterium nucleatum, inflammation, and immunity","volume":"37","author":[{"family":"Bashir","given":"Arif"},{"family":"Miskeen","given":"Abid Yousuf"},{"family":"Hazari","given":"Younis Mohammad"},{"family":"Asrafuzzaman","given":"Syed"},{"family":"Fazili","given":"Khalid Majid"}],"issued":{"date-parts":[["2016",3]]}}},{"id":3121,"uris":["http://zotero.org/users/local/6BakpO76/items/C8QKSJW5"],"itemData":{"id":3121,"type":"article-journal","abstract":"Fusobacterium nucleatum is an anaerobic oral commensal and a periodontal pathogen associated with a wide spectrum of human diseases. This article reviews its implication in adverse pregnancy outcomes (chorioamnionitis, preterm birth, stillbirth, neonatal sepsis, preeclampsia), GI disorders (colorectal cancer, inflammatory bowel disease, appendicitis), cardiovascular disease, rheumatoid arthritis, respiratory tract infections, Lemierre's syndrome and Alzheimer's disease. The virulence mechanisms involved in the diseases are discussed, with emphasis on its colonization, systemic dissemination, and induction of host inflammatory and tumorigenic responses. The FadA adhesin/invasin conserved in F. nucleatum is a key virulence factor and a potential diagnostic marker for F. nucleatum-associated diseases.","container-title":"Current Opinion in Microbiology","DOI":"10.1016/j.mib.2014.11.013","ISSN":"1879-0364","journalAbbreviation":"Curr Opin Microbiol","language":"eng","note":"PMID: 25576662\nPMCID: PMC4323942","page":"141-147","source":"PubMed","title":"Fusobacterium nucleatum: a commensal-turned pathogen","title-short":"Fusobacterium nucleatum","volume":"23","author":[{"family":"Han","given":"Yiping W."}],"issued":{"date-parts":[["2015",2]]}}}],"schema":"https://github.com/citation-style-language/schema/raw/master/csl-citation.json"} </w:instrText>
            </w:r>
            <w:r w:rsidR="00FA7B6B" w:rsidRPr="00C42BF6">
              <w:rPr>
                <w:rFonts w:ascii="Arial" w:eastAsia="Arial" w:hAnsi="Arial" w:cs="Arial"/>
                <w:i/>
                <w:iCs/>
                <w:color w:val="000000"/>
              </w:rPr>
              <w:fldChar w:fldCharType="separate"/>
            </w:r>
            <w:r w:rsidR="00F80CF1" w:rsidRPr="00F80CF1">
              <w:rPr>
                <w:rFonts w:ascii="Arial" w:hAnsi="Arial" w:cs="Arial"/>
                <w:color w:val="000000"/>
                <w:vertAlign w:val="superscript"/>
              </w:rPr>
              <w:t>113–116</w:t>
            </w:r>
            <w:r w:rsidR="00FA7B6B"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Akkermansia</w:t>
            </w:r>
            <w:proofErr w:type="spellEnd"/>
            <w:r w:rsidRPr="00C42BF6">
              <w:rPr>
                <w:rFonts w:ascii="Arial" w:eastAsia="Arial" w:hAnsi="Arial" w:cs="Arial"/>
                <w:i/>
                <w:iCs/>
                <w:color w:val="000000"/>
              </w:rPr>
              <w:t xml:space="preserve"> muciniphila</w:t>
            </w:r>
            <w:r w:rsidR="001B2AD3"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{"citationID":"3UvNGvLL","properties":{"formattedCitation":"\\super 40,81,161\\uc0\\u8211{}163\\nosupersub{}","plainCitation":"40,81,161–163","noteIndex":0},"citationItems":[{"id":2975,"uris":["http://zotero.org/users/local/6BakpO76/items/AGNWNBC8"],"itemData":{"id":2975,"type":"article-journal","abstract":"BACKGROUND: Rheumatoid arthritis (RA) is a systemic chronic inflammatory disease that leads to joint destruction and functional disability due to the targeting of self-antigens present in the synovium, cartilage, and bone. RA is caused by a number of complex factors, including genetics, environment, dietary habits, and altered intestinal microbial flora. Microorganisms in the gut bind to nod-like receptors and Toll-like receptors to regulate the immune system and produce various metabolites, such as short-chain fatty acids (SCFAs) that interact directly with the host. Faecalibacterium prausnitzii is a representative bacterium that produces butyrate, a well-known immunomodulatory agent in the body, and this microbe exerts anti-inflammatory effects in autoimmune diseases.\nMETHODS: In this study, F. prausnitzii was administered in a mouse model of RA, to investigate RA pathology and changes in the intestinal microbial flora. Using collagen-induced arthritic mice, which is a representative animal model of RA, we administered F. prausnitzii orally for 7 weeks.\nRESULTS: The arthritis score and joint tissue damage were decreased in the mice administered F. prausnitzii compared with the vehicle-treated group. In addition, administration of F. prausnitzii reduced the abundance of systemic immune cells that secrete the pro-inflammatory cytokine IL-17 and induced changes in SCFA concentrations and the intestinal microbial flora composition. It also resulted in decreased lactate and acetate concentrations, an increased butyrate concentration, and altered compositions of bacteria known to exacerbate or improve RA.\nCONCLUSION: These results suggest that F. prausnitzii exerts a therapeutic effect on RA by regulation of IL-17 producing cells. In addition, F. prausnitzii modify the microbial flora composition and short chain fatty acids in experimental RA mouse model.","container-title":"Arthritis Research &amp; Therapy","DOI":"10.1186/s13075-023-03118-3","ISSN":"1478-6362","issue":"1","journalAbbreviation":"Arthritis Res Ther","language":"eng","note":"PMID: 37496081\nPMCID: PMC10373287","page":"130","source":"PubMed","title":"Faecalibacterium prausnitzii alleviates inflammatory arthritis and regulates IL-17 production, short chain fatty acids, and the intestinal microbial flora in experimental mouse model for rheumatoid arthritis","volume":"25","author":[{"family":"Moon","given":"Jeonghyeon"},{"family":"Lee","given":"A. Ram"},{"family":"Kim","given":"Heejung"},{"family":"Jhun","given":"JooYeon"},{"family":"Lee","given":"Seon-Yeong"},{"family":"Choi","given":"Jeong Won"},{"family":"Jeong","given":"Yunju"},{"family":"Park","given":"Myeong Soo"},{"family":"Ji","given":"Geun Eog"},{"family":"Cho","given":"Mi-La"},{"family":"Park","given":"Sung-Hwan"}],"issued":{"date-parts":[["2023",7,26]]}}},{"id":2984,"uris":["http://zotero.org/users/local/6BakpO76/items/VZIJYN2V"],"itemData":{"id":2984,"type":"article-journal","abstract":"The human intestinal commensal microbiota and associated metabolic products have long been regarded as contributors to host health. As the identity and activities of the various members of this community have become clearer, newly identified health-associated bacteria, such as Faecalibacterium prausnitzii, Akkermansia muciniphila, Ruminococcus bromii and Roseburia species, have emerged. Notably, the abundance of many of these bacteria is inversely correlated to several disease states. While technological and regulatory hurdles may limit the use of strains from these taxa as probiotics, it should be possible to utilize prebiotics and other dietary components to selectively enhance their growth in situ. Dietary components of potential relevance include well-established prebiotics, such as galacto-oligosaccharides, fructo-oligosaccharides and inulin, while other putative prebiotics, such as other oligosaccharides, polyphenols, resistant starch, algae and seaweed as well as host gut metabolites such as lactate and acetate, may also be applied with the aim of selectively and/or differentially affecting the beneficial bacterial community within the gastrointestinal environment. The present review provides an overview of the dietary components that could be applied in this manner.","container-title":"Gut Microbes","DOI":"10.1080/19490976.2019.1613124","ISSN":"1949-0984","issue":"1","journalAbbreviation":"Gut Microbes","language":"eng","note":"PMID: 31116628\nPMCID: PMC6973326","page":"1-20","source":"PubMed","title":"Potential for enriching next-generation health-promoting gut bacteria through prebiotics and other dietary components","volume":"11","author":[{"family":"Lordan","given":"Cathy"},{"family":"Thapa","given":"Dinesh"},{"family":"Ross","given":"R. Paul"},{"family":"Cotter","given":"Paul D."}],"issued":{"date-parts":[["2020"]]}}},{"id":3307,"uris":["http://zotero.org/users/local/6BakpO76/items/ZVYSY9HU"],"itemData":{"id":3307,"type":"article-journal","abstract":"The gut microbiota is essential for numerous aspects of human health. However, the underlying mechanisms of many host-microbiota interactions remain unclear. The aim of this study was to characterize effects of the microbiota on host epithelium using a novel ex vivo model based on mouse ileal organoids. We have explored the transcriptional response of organoids upon exposure to short-chain fatty acids (SCFAs) and products generated by two abundant microbiota constituents, Akkermansia muciniphila and Faecalibacterium prausnitzii. We observed that A. muciniphila metabolites affect various transcription factors and genes involved in cellular lipid metabolism and growth, supporting previous in vivo findings. Contrastingly, F. prausnitzii products exerted only weak effects on host transcription. Additionally, A. muciniphila and its metabolite propionate modulated expression of Fiaf, Gpr43, histone deacetylases (HDACs), and peroxisome proliferator-activated receptor gamma (Pparγ), important regulators of transcription factor regulation, cell cycle control, lipolysis, and satiety. This work illustrates that specific bacteria and their metabolites differentially modulate epithelial transcription in mouse organoids. We demonstrate that intestinal organoids provide a novel and powerful ex vivo model for host-microbiome interaction studies.\nIMPORTANCE: We investigated the influence of the gut microbiota and microbially produced short-chain fatty acids (SCFAs) on gut functioning. Many commensal bacteria in the gut produce SCFAs, particularly butyrate, acetate, and propionate, which have been demonstrated to reduce the risk of gastrointestinal disorders. Organoids-small crypt-villus structures grown from ileal intestinal stem cells-were exposed to SCFAs and two specific gut bacteria. Akkermansia muciniphila, found in the intestinal mucus, was recently shown to have a favorable effect on the disrupted metabolism associated with obesity. Faecalibacterium prausnitzii is a commensal gut bacterium, the absence of which may be associated with Crohn's disease. We showed that in our model, A. muciniphila induces stronger effects on the host than F. prausnitzii. We observed that A. muciniphila and propionate affect the expression of genes involved in host lipid metabolism and epigenetic activation or silencing of gene expression. We demonstrated that organoids provide a powerful tool for host-microbe interaction studies.","container-title":"mBio","DOI":"10.1128/mBio.01438-14","ISSN":"2150-7511","issue":"4","journalAbbreviation":"mBio","language":"eng","note":"PMID: 25118238\nPMCID: PMC4145684","page":"e01438-14","source":"PubMed","title":"Differential modulation by Akkermansia muciniphila and Faecalibacterium prausnitzii of host peripheral lipid metabolism and histone acetylation in mouse gut organoids","volume":"5","author":[{"family":"Lukovac","given":"Sabina"},{"family":"Belzer","given":"Clara"},{"family":"Pellis","given":"Linette"},{"family":"Keijser","given":"Bart J."},{"family":"Vos","given":"Willem M.","non-dropping-particle":"de"},{"family":"Montijn","given":"Roy C."},{"family":"Roeselers","given":"Guus"}],"issued":{"date-parts":[["2014",8,12]]}}},{"id":3310,"uris":["http://zotero.org/users/local/6BakpO76/items/6WHKAXHD"],"itemData":{"id":3310,"type":"article-journal","abstract":"Akkermansia muciniphila colonizes the mucus layer of the gastrointestinal tract, where the organism can be exposed to the oxygen that diffuses from epithelial cells. To understand how A. muciniphila is able to survive and grow at this oxic-anoxic interface, its oxygen tolerance and response and reduction capacities were studied. A. muciniphila was found to be oxygen tolerant. On top of this, under aerated conditions, A. muciniphila showed significant oxygen reduction capacities and its growth rate and yield were increased compared to those seen under strict anaerobic conditions. Transcriptome analysis revealed an initial oxygen stress response upon exposure to oxygen. Thereafter, genes related to respiration were expressed, including those coding for the cytochrome bd complex, which can function as a terminal oxidase. The functionality of A. muciniphila cytochrome bd genes was proven by successfully complementing cytochrome-deficient Escherichia coli strain ECOM4. We conclude that A. muciniphila can use oxygen when it is present at nanomolar concentrations.IMPORTANCE This article explains how Akkermansia muciniphila, previously described as a strictly anaerobic bacterium, is able to tolerate and even benefit from low levels of oxygen. Interestingly, we measured growth enhancement of A. muciniphila and changes in metabolism as a result of the oxygen exposure. In this article, we discuss similarities and differences of this oxygen-responsive mechanism with respect to those of other intestinal anaerobic isolates. Taken together, we think that these are valuable data that indicate how anaerobic intestinal colonizing bacteria can exploit low levels of oxygen present in the mucus layer and that our results have direct relevance for applicability, as addition of low oxygen concentrations could benefit the in vitro growth of certain anaerobic organisms.","container-title":"Applied and Environmental Microbiology","DOI":"10.1128/AEM.01641-16","ISSN":"1098-5336","issue":"23","journalAbbreviation":"Appl Environ Microbiol","language":"eng","note":"PMID: 27663027\nPMCID: PMC5103097","page":"6983-6993","source":"PubMed","title":"Adaptation of Akkermansia muciniphila to the Oxic-Anoxic Interface of the Mucus Layer","volume":"82","author":[{"family":"Ouwerkerk","given":"Janneke P."},{"family":"Ark","given":"Kees C. H.","non-dropping-particle":"van der"},{"family":"Davids","given":"Mark"},{"family":"Claassens","given":"Nico J."},{"family":"Finestra","given":"Teresa Robert"},{"family":"Vos","given":"Willem M.","non-dropping-particle":"de"},{"family":"Belzer","given":"Clara"}],"issued":{"date-parts":[["2016",12,1]]}}},{"id":3313,"uris":["http://zotero.org/users/local/6BakpO76/items/BRSFJUST"],"itemData":{"id":3313,"type":"article-journal","abstract":"Akkermansia muciniphila has evolved to specialize in the degradation and utilization of host mucus, which it may use as the sole source of carbon and nitrogen. Mucus degradation and fermentation by A. muciniphila are known to result in the liberation of oligosaccharides and subsequent production of acetate, which becomes directly available to microorganisms in the vicinity of the intestinal mucosa. Coculturing experiments of Amuciniphila with non-mucus-degrading butyrate-producing bacteria Anaerostipes caccae, Eubacterium hallii, and Faecalibacterium prausnitzii resulted in syntrophic growth and production of butyrate. In addition, we demonstrate that the production of pseudovitamin B12 by E. hallii results in production of propionate by A. muciniphila, which suggests that this syntrophy is indeed bidirectional. These data are proof of concept for syntrophic and other symbiotic microbe-microbe interactions at the intestinal mucosal interface. The observed metabolic interactions between Amuciniphila and butyrogenic bacterial taxa support the existence of colonic vitamin and butyrate production pathways that are dependent on host glycan production and independent of dietary carbohydrates. We infer that the intestinal symbiont A. muciniphila can indirectly stimulate intestinal butyrate levels in the vicinity of the intestinal epithelial cells with potential health benefits to the host.IMPORTANCE The intestinal microbiota is said to be a stable ecosystem where many networks between microorganisms are formed. Here we present a proof of principle study of microbial interaction at the intestinal mucus layer. We show that indigestible oligosaccharide chains within mucus become available for a broad range of intestinal microbes after degradation and liberation of sugars by the species Akkermansia muciniphila This leads to the microbial synthesis of vitamin B12, 1,2-propanediol, propionate, and butyrate, which are beneficial to the microbial ecosystem and host epithelial cells.","container-title":"mBio","DOI":"10.1128/mBio.00770-17","ISSN":"2150-7511","issue":"5","journalAbbreviation":"mBio","language":"eng","note":"PMID: 28928206\nPMCID: PMC5605934","page":"e00770-17","source":"PubMed","title":"Microbial Metabolic Networks at the Mucus Layer Lead to Diet-Independent Butyrate and Vitamin B12 Production by Intestinal Symbionts","volume":"8","author":[{"family":"Belzer","given":"Clara"},{"family":"Chia","given":"Loo Wee"},{"family":"Aalvink","given":"Steven"},{"family":"Chamlagain","given":"Bhawani"},{"family":"Piironen","given":"Vieno"},{"family":"Knol","given":"Jan"},{"family":"Vos","given":"Willem M.","non-dropping-particle":"de"}],"issued":{"date-parts":[["2017",9,19]]}}}],"schema":"https://github.com/citation-style-language/schema/raw/master/csl-citation.json"} </w:instrText>
            </w:r>
            <w:r w:rsidR="001B2AD3" w:rsidRPr="00C42BF6">
              <w:rPr>
                <w:rFonts w:ascii="Arial" w:eastAsia="Arial" w:hAnsi="Arial" w:cs="Arial"/>
                <w:i/>
                <w:iCs/>
                <w:color w:val="000000"/>
              </w:rPr>
              <w:fldChar w:fldCharType="separate"/>
            </w:r>
            <w:r w:rsidR="00F80CF1" w:rsidRPr="00F80CF1">
              <w:rPr>
                <w:rFonts w:ascii="Arial" w:hAnsi="Arial" w:cs="Arial"/>
                <w:color w:val="000000"/>
                <w:vertAlign w:val="superscript"/>
              </w:rPr>
              <w:t>40,81,161–163</w:t>
            </w:r>
            <w:r w:rsidR="001B2AD3" w:rsidRPr="00C42BF6">
              <w:rPr>
                <w:rFonts w:ascii="Arial" w:eastAsia="Arial" w:hAnsi="Arial" w:cs="Arial"/>
                <w:i/>
                <w:iCs/>
                <w:color w:val="000000"/>
              </w:rPr>
              <w:fldChar w:fldCharType="end"/>
            </w:r>
            <w:r w:rsidRPr="00C42BF6">
              <w:rPr>
                <w:rFonts w:ascii="Arial" w:eastAsia="Arial" w:hAnsi="Arial" w:cs="Arial"/>
                <w:i/>
                <w:iCs/>
                <w:color w:val="000000"/>
              </w:rPr>
              <w:t xml:space="preserve"> | Bacteroides thetaiotaomicron</w:t>
            </w:r>
            <w:r w:rsidR="00AA1A22"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{"citationID":"8a3Aho99","properties":{"formattedCitation":"\\super 30,31\\nosupersub{}","plainCitation":"30,31","noteIndex":0},"citationItems":[{"id":2959,"uris":["http://zotero.org/users/local/6BakpO76/items/R2XSMMDA"],"itemData":{"id":2959,"type":"article-journal","abstract":"BACKGROUND: The intestinal mucus layer plays a key role in the maintenance of host-microbiota homeostasis. To document the crosstalk between the host and microbiota, we used gnotobiotic models to study the influence of two major commensal bacteria, Bacteroides thetaiotaomicron and Faecalibacterium prausnitzii, on this intestinal mucus layer. B. thetaiotaomicron is known to use polysaccharides from mucus, but its effect on goblet cells has not been addressed so far. F. prausnitzii is of particular physiological importance because it can be considered as a sensor and a marker of human health. We determined whether B. thetaiotaomicron affected goblet cell differentiation, mucin synthesis and glycosylation in the colonic epithelium. We then investigated how F. prausnitzii influenced the colonic epithelial responses to B. thetaiotaomicron.\nRESULTS: B. thetaiotaomicron, an acetate producer, increased goblet cell differentiation, expression of mucus-related genes and the ratio of sialylated to sulfated mucins in mono-associated rats. B. thetaiotaomicron, therefore, stimulates the secretory lineage, favoring mucus production. When B. thetaiotaomicron was associated with F. prausnitzii, an acetate consumer and a butyrate producer, the effects on goblet cells and mucin glycosylation were diminished. F. prausnitzii, by attenuating the effects of B. thetaiotaomicron on mucus, may help the epithelium to maintain appropriate proportions of different cell types of the secretory lineage. Using a mucus-producing cell line, we showed that acetate up-regulated KLF4, a transcription factor involved in goblet cell differentiation.\nCONCLUSIONS: B. thetaiotaomicron and F. prausnitzii, which are metabolically complementary, modulate, in vivo, the intestinal mucus barrier by modifying goblet cells and mucin glycosylation. Our study reveals the importance of the balance between two main commensal bacteria in maintaining colonic epithelial homeostasis via their respective effects on mucus.","container-title":"BMC biology","DOI":"10.1186/1741-7007-11-61","ISSN":"1741-7007","journalAbbreviation":"BMC Biol","language":"eng","note":"PMID: 23692866\nPMCID: PMC3673873","page":"61","source":"PubMed","title":"Bacteroides thetaiotaomicron and Faecalibacterium prausnitzii influence the production of mucus glycans and the development of goblet cells in the colonic epithelium of a gnotobiotic model rodent","volume":"11","author":[{"family":"Wrzosek","given":"Laura"},{"family":"Miquel","given":"Sylvie"},{"family":"Noordine","given":"Marie-Louise"},{"family":"Bouet","given":"Stephan"},{"family":"Joncquel Chevalier-Curt","given":"Marie"},{"family":"Robert","given":"Véronique"},{"family":"Philippe","given":"Catherine"},{"family":"Bridonneau","given":"Chantal"},{"family":"Cherbuy","given":"Claire"},{"family":"Robbe-Masselot","given":"Catherine"},{"family":"Langella","given":"Philippe"},{"family":"Thomas","given":"Muriel"}],"issued":{"date-parts":[["2013",5,21]]}}},{"id":2968,"uris":["http://zotero.org/users/local/6BakpO76/items/K75AJD95"],"itemData":{"id":2968,"type":"article-journal","abstract":"Understanding how members of the human gut microbiota prioritize nutrient resources is one component of a larger effort to decipher the mechanisms defining microbial community robustness and resiliency in health and disease. This knowledge is foundational for development of microbiota-directed therapeutics. To model how bacteria prioritize glycans in the gut, germfree mice were colonized with 13 human gut bacterial strains, including seven saccharolytic Bacteroidaceae species. Animals were fed a Western diet supplemented with pea fiber. After community assembly, an inducible CRISPR-based system was used to selectively and temporarily reduce the absolute abundance of Bacteroides thetaiotaomicron or B. cellulosilyticus by 10- to 60-fold. Each knockdown resulted in specific, reproducible increases in the abundances of other Bacteroidaceae and dynamic alterations in their expression of genes involved in glycan utilization. Emergence of these \"alternate consumers\" was associated with preservation of community saccharolytic activity. Using an inducible system for CRISPR base editing in vitro, we disrupted translation of transporters critical for utilizing dietary polysaccharides in Phocaeicola vulgatus, a B. cellulosilyticus knockdown-responsive taxon. In vitro and in vivo tests of the resulting P. vulgatus mutants allowed us to further characterize mechanisms associated with its increased fitness after knockdown. In principle, the approach described can be applied to study utilization of a range of nutrients and to preclinical efforts designed to develop therapeutic strategies for precision manipulation of microbial communities.","container-title":"Proceedings of the National Academy of Sciences of the United States of America","DOI":"10.1073/pnas.2311422120","ISSN":"1091-6490","issue":"39","journalAbbreviation":"Proc Natl Acad Sci U S A","language":"eng","note":"PMID: 37733741\nPMCID: PMC10523453","page":"e2311422120","source":"PubMed","title":"Inducible CRISPR-targeted \"knockdown\" of human gut Bacteroides in gnotobiotic mice discloses glycan utilization strategies","volume":"120","author":[{"family":"Beller","given":"Zachary W."},{"family":"Wesener","given":"Darryl A."},{"family":"Seebeck","given":"Timothy R."},{"family":"Guruge","given":"Janaki L."},{"family":"Byrne","given":"Alexandra E."},{"family":"Henrissat","given":"Suzanne"},{"family":"Terrapon","given":"Nicolas"},{"family":"Henrissat","given":"Bernard"},{"family":"Rodionov","given":"Dmitry A."},{"family":"Osterman","given":"Andrei L."},{"family":"Suarez","given":"Chris"},{"family":"Bacalzo","given":"Nikita P."},{"family":"Chen","given":"Ye"},{"family":"Couture","given":"Garret"},{"family":"Lebrilla","given":"Carlito B."},{"family":"Zhang","given":"Zhigang"},{"family":"Eastlund","given":"Erik R."},{"family":"McCann","given":"Caitlin H."},{"family":"Davis","given":"Gregory D."},{"family":"Gordon","given":"Jeffrey I."}],"issued":{"date-parts":[["2023",9,26]]}}}],"schema":"https://github.com/citation-style-language/schema/raw/master/csl-citation.json"} </w:instrText>
            </w:r>
            <w:r w:rsidR="00AA1A22" w:rsidRPr="00C42BF6">
              <w:rPr>
                <w:rFonts w:ascii="Arial" w:eastAsia="Arial" w:hAnsi="Arial" w:cs="Arial"/>
                <w:i/>
                <w:iCs/>
                <w:color w:val="000000"/>
              </w:rPr>
              <w:fldChar w:fldCharType="separate"/>
            </w:r>
            <w:r w:rsidR="00F80CF1" w:rsidRPr="00F80CF1">
              <w:rPr>
                <w:rFonts w:ascii="Arial" w:hAnsi="Arial" w:cs="Arial"/>
                <w:color w:val="000000"/>
                <w:vertAlign w:val="superscript"/>
              </w:rPr>
              <w:t>30,31</w:t>
            </w:r>
            <w:r w:rsidR="00AA1A22"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Prevotella</w:t>
            </w:r>
            <w:proofErr w:type="spellEnd"/>
            <w:r w:rsidRPr="00C42BF6">
              <w:rPr>
                <w:rFonts w:ascii="Arial" w:eastAsia="Arial" w:hAnsi="Arial" w:cs="Arial"/>
                <w:i/>
                <w:iCs/>
                <w:color w:val="000000"/>
              </w:rPr>
              <w:t xml:space="preserve"> copri</w:t>
            </w:r>
            <w:r w:rsidR="00AA1A22"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{"citationID":"oZMXu4g3","properties":{"formattedCitation":"\\super 75\\uc0\\u8211{}77\\nosupersub{}","plainCitation":"75–77","noteIndex":0},"citationItems":[{"id":2948,"uris":["http://zotero.org/users/local/6BakpO76/items/N3W92Q77"],"itemData":{"id":2948,"type":"article-journal","abstract":"Six strains (CB7(T), CB18, CB23, CB26, CB28 and CB35(T)) were isolated from human faeces. Based on phylogenetic analysis, phenotypic characteristics, cellular fatty acid profiles and menaquinone profiles, these strains could be included within the genus Prevotella and made up two clusters. 16S rRNA gene sequence analysis indicated that five strains were most closely related to Prevotella veroralis, sharing about 92 % sequence similarity; the remaining strain was most closely related to Prevotella shahii, sharing about 90 % sequence similarity. All six strains were obligately anaerobic, non-pigmented, non-spore-forming, non-motile, Gram-negative rods. The cellular fatty acid compositions of the six strains differed significantly from those of other Prevotella species. Five strains (CB7(T), CB18, CB23, CB26 and CB28) contained dimethyl acetals and the major menaquinones of these strains were MK-11, MK-12 and MK-13. The major menaquinones of CB35(T) were MK-12 and MK-13. Based on phenotypic and phylogenetic findings, two novel species, Prevotella copri sp. nov. and Prevotella stercorea sp. nov., are proposed, representing the two different strain clusters. The DNA G+C contents of strains CB7(T) and CB35(T) were 45.3 and 48.2 mol%, respectively. The type strains of P. copri and P. stercorea are CB7(T) (=JCM 13464(T)=DSM 18205(T)) and CB35(T) (=JCM 13469(T)=DSM 18206(T)), respectively.","container-title":"International Journal of Systematic and Evolutionary Microbiology","DOI":"10.1099/ijs.0.64778-0","ISSN":"1466-5026","issue":"Pt 5","journalAbbreviation":"Int J Syst Evol Microbiol","language":"eng","note":"PMID: 17473237","page":"941-946","source":"PubMed","title":"Prevotella copri sp. nov. and Prevotella stercorea sp. nov., isolated from human faeces","volume":"57","author":[{"family":"Hayashi","given":"Hidenori"},{"family":"Shibata","given":"Kensaku"},{"family":"Sakamoto","given":"Mitsuo"},{"family":"Tomita","given":"Shinichi"},{"family":"Benno","given":"Yoshimi"}],"issued":{"date-parts":[["2007",5]]}}},{"id":2946,"uris":["http://zotero.org/users/local/6BakpO76/items/6PWRGI55"],"itemData":{"id":2946,"type":"article-journal","abstract":"Both preclinical and established rheumatoid arthritis (RA) patients display alterations in the gut microbiome. Prevotella spp. are preferentially enriched in a subset of RA patients. Here, we isolated a Prevotella strain, P. copri RA, from the feces of RA patients and showed that colonization of P. copri RA exacerbated arthritis in a collagen-induced arthritis (CIA) model. With the presence of P. copri RA colonization, a high-fiber diet exacerbated arthritis via microbial alterations and intestinal inflammation. Colonization of P. copri together with a high-fiber diet enabled the digestion of complex fiber, which led to the overproduction of organic acids, including fumarate, succinate and short-chain fatty acids. Succinate promoted proinflammatory responses in macrophages, and supplementation with succinate exacerbated arthritis in the CIA model. Our findings highlight the importance of dysbiosis when evaluating the effects of dietary interventions on RA pathogenesis and provide new insight into dietary interventions or microbiome modifications to improve RA management.","container-title":"Cellular &amp; Molecular Immunology","DOI":"10.1038/s41423-022-00934-6","ISSN":"2042-0226","issue":"12","journalAbbreviation":"Cell Mol Immunol","language":"eng","note":"PMID: 36323929\nPMCID: PMC9709035","page":"1414-1424","source":"PubMed","title":"A high-fiber diet synergizes with Prevotella copri and exacerbates rheumatoid arthritis","volume":"19","author":[{"family":"Jiang","given":"Lingjuan"},{"family":"Shang","given":"Mengmeng"},{"family":"Yu","given":"Shengnan"},{"family":"Liu","given":"Yudong"},{"family":"Zhang","given":"Hui"},{"family":"Zhou","given":"Yangzhong"},{"family":"Wang","given":"Min"},{"family":"Wang","given":"Tingting"},{"family":"Li","given":"Hui"},{"family":"Liu","given":"Zhihua"},{"family":"Zhang","given":"Xuan"}],"issued":{"date-parts":[["2022",12]]}}},{"id":2943,"uris":["http://zotero.org/users/local/6BakpO76/items/MJRBF6QV"],"itemData":{"id":2943,"type":"article-journal","abstract":"The human gut microbiota is a crucial factor for the host's physiology with respect to health and disease. Metagenomic shotgun sequencing of microbial gut communities revealed that Prevotella copri is one of the most important players in the gastrointestinal tract of many individuals. Because of the importance of this bacterium we analyzed the growth behavior and the central metabolic pathways of P. copri. Bioinformatic data, transcriptome profiling and enzyme activity measurements indicated that the major pathways are based on glycolysis and succinate production from fumarate. In addition, pyruvate can be degraded to acetate and formate. Electron transport phosphorylation depends on fumarate respiration with NADH and reduced ferredoxin as electron donors. In contrast to Bacteroides vulgatus, P. copri showed a more pronounced dependency on the addition of CO2 or bicarbonate for biomass formation, which is a remarkable difference between P. copri and Bacteroides spp. with important implication in the context of gut microbial competition. The analysis of substrate consumption and product concentrations from many P. copri cultures with different optical densities allowed a prediction of the carbon and electron flow in the central metabolism and a detailed calculation of growth yields as well as carbon and redox balances.","container-title":"Molecular Microbiology","DOI":"10.1111/mmi.14058","ISSN":"1365-2958","issue":"4","journalAbbreviation":"Mol Microbiol","language":"eng","note":"PMID: 29995973","page":"528-540","source":"PubMed","title":"Physiology and central carbon metabolism of the gut bacterium Prevotella copri","volume":"109","author":[{"family":"Franke","given":"Thomas"},{"family":"Deppenmeier","given":"Uwe"}],"issued":{"date-parts":[["2018",8]]}}}],"schema":"https://github.com/citation-style-language/schema/raw/master/csl-citation.json"} </w:instrText>
            </w:r>
            <w:r w:rsidR="00AA1A22" w:rsidRPr="00C42BF6">
              <w:rPr>
                <w:rFonts w:ascii="Arial" w:eastAsia="Arial" w:hAnsi="Arial" w:cs="Arial"/>
                <w:i/>
                <w:iCs/>
                <w:color w:val="000000"/>
              </w:rPr>
              <w:fldChar w:fldCharType="separate"/>
            </w:r>
            <w:r w:rsidR="00F80CF1" w:rsidRPr="00F80CF1">
              <w:rPr>
                <w:rFonts w:ascii="Arial" w:hAnsi="Arial" w:cs="Arial"/>
                <w:color w:val="000000"/>
                <w:vertAlign w:val="superscript"/>
              </w:rPr>
              <w:t>75–77</w:t>
            </w:r>
            <w:r w:rsidR="00AA1A22" w:rsidRPr="00C42BF6">
              <w:rPr>
                <w:rFonts w:ascii="Arial" w:eastAsia="Arial" w:hAnsi="Arial" w:cs="Arial"/>
                <w:i/>
                <w:iCs/>
                <w:color w:val="000000"/>
              </w:rPr>
              <w:fldChar w:fldCharType="end"/>
            </w:r>
            <w:r w:rsidRPr="00C42BF6">
              <w:rPr>
                <w:rFonts w:ascii="Arial" w:eastAsia="Arial" w:hAnsi="Arial" w:cs="Arial"/>
                <w:i/>
                <w:iCs/>
                <w:color w:val="000000"/>
              </w:rPr>
              <w:t xml:space="preserve"> | </w:t>
            </w:r>
            <w:proofErr w:type="spellStart"/>
            <w:r w:rsidRPr="00C42BF6">
              <w:rPr>
                <w:rFonts w:ascii="Arial" w:eastAsia="Arial" w:hAnsi="Arial" w:cs="Arial"/>
                <w:i/>
                <w:iCs/>
                <w:color w:val="000000"/>
              </w:rPr>
              <w:t>Ruminococcus</w:t>
            </w:r>
            <w:proofErr w:type="spellEnd"/>
            <w:r w:rsidRPr="00C42BF6">
              <w:rPr>
                <w:rFonts w:ascii="Arial" w:eastAsia="Arial" w:hAnsi="Arial" w:cs="Arial"/>
                <w:i/>
                <w:iCs/>
                <w:color w:val="000000"/>
              </w:rPr>
              <w:t xml:space="preserve"> gnavus</w:t>
            </w:r>
            <w:r w:rsidR="00CD0892"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{"citationID":"7nLjU0eg","properties":{"formattedCitation":"\\super 164\\uc0\\u8211{}166\\nosupersub{}","plainCitation":"164–166","noteIndex":0},"citationItems":[{"id":3335,"uris":["http://zotero.org/users/local/6BakpO76/items/C8UU88TG"],"itemData":{"id":3335,"type":"article-journal","abstract":"Imbalances in the gut microbiome are suspected contributors to the pathogenesis of Systemic Lupus Erythematosus, and our studies and others have documented that patients with active Lupus nephritis have expansions of the obligate anaerobe, Blautia (Ruminococcus) gnavus (RG). To investigate whether the RG strains in Lupus patients have in vivo pathogenic properties in a gnotobiotic system, we colonized C57BL/6 mice with individual RG strains from healthy adults or those from Lupus patients. These strains were similar in their capacity for murine intestinal colonization of antibiotic-preconditioned specific-pathogen-free, as well as of germ-free adults and of their neonatally colonized litters. Lupus-derived RG strains induced high levels of intestinal permeability that was significantly greater in female than male mice, whereas the RG species-type strain (ATCC29149/VPI C7-1) from a healthy donor had little or no effects. These Lupus RG strain-induced functional alterations were associated with RG translocation to mesenteric lymph nodes, and raised serum levels of zonulin, a regulator of tight junction formation between cells that form the gut barrier. Notably, the level of Lupus RG-induced intestinal permeability was significantly correlated with serum IgG anti RG cell-wall lipoglycan antibodies, and with anti-native DNA autoantibodies that are a biomarker for SLE. Strikingly, gut permeability was completely reversed by oral treatment with larazotide acetate, an octapeptide that is a specific molecular antagonist of zonulin. Taken together, these studies document a pathway by which RG strains from Lupus patients contribute to a leaky gut and features of autoimmunity implicated in the pathogenesis of flares of clinical Lupus disease.","container-title":"Frontiers in Immunology","DOI":"10.3389/fimmu.2022.897971","ISSN":"1664-3224","journalAbbreviation":"Front Immunol","language":"eng","note":"PMID: 36032126\nPMCID: PMC9405438","page":"897971","source":"PubMed","title":"Sex-dependent Lupus Blautia (Ruminococcus) gnavus strain induction of zonulin-mediated intestinal permeability and autoimmunity","volume":"13","author":[{"family":"Silverman","given":"Gregg J."},{"family":"Deng","given":"Jing"},{"family":"Azzouz","given":"Doua F."}],"issued":{"date-parts":[["2022"]]}}},{"id":3332,"uris":["http://zotero.org/users/local/6BakpO76/items/DEY8FJWP"],"itemData":{"id":3332,"type":"article-journal","abstract":"BACKGROUND: Inflammatory bowel disease (IBD) is characterized by chronic inflammation of the gastrointestinal tract that is associated with changes in the gut microbiome. Here, we sought to identify strain-specific functional correlates with IBD outcomes.\nMETHODS: We performed metagenomic sequencing of monthly stool samples from 20 IBD patients and 12 controls (266 total samples). These were taxonomically profiled with MetaPhlAn2 and functionally profiled using HUMAnN2. Differentially abundant species were identified using MaAsLin and strain-specific pangenome haplotypes were analyzed using PanPhlAn.\nRESULTS: We found a significantly higher abundance in patients of facultative anaerobes that can tolerate the increased oxidative stress of the IBD gut. We also detected dramatic, yet transient, blooms of Ruminococcus gnavus in IBD patients, often co-occurring with increased disease activity. We identified two distinct clades of R. gnavus strains, one of which is enriched in IBD patients. To study functional differences between these two clades, we augmented the R. gnavus pangenome by sequencing nine isolates from IBD patients. We identified 199 IBD-specific, strain-specific genes involved in oxidative stress responses, adhesion, iron-acquisition, and mucus utilization, potentially conferring an adaptive advantage for this R. gnavus clade in the IBD gut.\nCONCLUSIONS: This study adds further evidence to the hypothesis that increased oxidative stress may be a major factor shaping the dysbiosis of the microbiome observed in IBD and suggests that R. gnavus may be an important member of the altered gut community in IBD.","container-title":"Genome Medicine","DOI":"10.1186/s13073-017-0490-5","ISSN":"1756-994X","issue":"1","journalAbbreviation":"Genome Med","language":"eng","note":"PMID: 29183332\nPMCID: PMC5704459","page":"103","source":"PubMed","title":"A novel Ruminococcus gnavus clade enriched in inflammatory bowel disease patients","volume":"9","author":[{"family":"Hall","given":"Andrew Brantley"},{"family":"Yassour","given":"Moran"},{"family":"Sauk","given":"Jenny"},{"family":"Garner","given":"Ashley"},{"family":"Jiang","given":"Xiaofang"},{"family":"Arthur","given":"Timothy"},{"family":"Lagoudas","given":"Georgia K."},{"family":"Vatanen","given":"Tommi"},{"family":"Fornelos","given":"Nadine"},{"family":"Wilson","given":"Robin"},{"family":"Bertha","given":"Madeline"},{"family":"Cohen","given":"Melissa"},{"family":"Garber","given":"John"},{"family":"Khalili","given":"Hamed"},{"family":"Gevers","given":"Dirk"},{"family":"Ananthakrishnan","given":"Ashwin N."},{"family":"Kugathasan","given":"Subra"},{"family":"Lander","given":"Eric S."},{"family":"Blainey","given":"Paul"},{"family":"Vlamakis","given":"Hera"},{"family":"Xavier","given":"Ramnik J."},{"family":"Huttenhower","given":"Curtis"}],"issued":{"date-parts":[["2017",11,28]]}}},{"id":3329,"uris":["http://zotero.org/users/local/6BakpO76/items/UXJFKLKT"],"itemData":{"id":3329,"type":"article-journal","abstract":"Ruminococcus gnavus was first identified in 1974 as a strict anaerobe in the gut of healthy individuals, and for several decades, its study has been limited to specific enzymes or bacteriocins. With the advent of metagenomics, R. gnavus has been associated both positively and negatively with an increasing number of intestinal and extraintestinal diseases from inflammatory bowel diseases to neurological disorders. This prompted renewed interest in understanding the adaptation mechanisms of R. gnavus to the gut, and the molecular mediators affecting its association with health and disease. From ca. 250 publications citing R. gnavus since 1990, 94% were published in the last 10 years. In this review, we describe the biological characterization of R. gnavus, its occurrence in the infant and adult gut microbiota and the factors influencing its colonization of the gastrointestinal tract; we also discuss the current state of our knowledge on its role in host health and disease. We highlight gaps in knowledge and discuss the hypothesis that differential health outcomes associated with R. gnavus in the gut are strain and niche specific.","container-title":"FEMS microbiology reviews","DOI":"10.1093/femsre/fuad014","ISSN":"1574-6976","issue":"2","journalAbbreviation":"FEMS Microbiol Rev","language":"eng","note":"PMID: 37015876\nPMCID: PMC10112845","page":"fuad014","source":"PubMed","title":"Ruminococcus gnavus: friend or foe for human health","title-short":"Ruminococcus gnavus","volume":"47","author":[{"family":"Crost","given":"Emmanuelle H."},{"family":"Coletto","given":"Erika"},{"family":"Bell","given":"Andrew"},{"family":"Juge","given":"Nathalie"}],"issued":{"date-parts":[["2023",3,10]]}}}],"schema":"https://github.com/citation-style-language/schema/raw/master/csl-citation.json"} </w:instrText>
            </w:r>
            <w:r w:rsidR="00CD0892" w:rsidRPr="00C42BF6">
              <w:rPr>
                <w:rFonts w:ascii="Arial" w:eastAsia="Arial" w:hAnsi="Arial" w:cs="Arial"/>
                <w:i/>
                <w:iCs/>
                <w:color w:val="000000"/>
              </w:rPr>
              <w:fldChar w:fldCharType="separate"/>
            </w:r>
            <w:r w:rsidR="00F80CF1" w:rsidRPr="00F80CF1">
              <w:rPr>
                <w:rFonts w:ascii="Arial" w:hAnsi="Arial" w:cs="Arial"/>
                <w:color w:val="000000"/>
                <w:vertAlign w:val="superscript"/>
              </w:rPr>
              <w:t>164–166</w:t>
            </w:r>
            <w:r w:rsidR="00CD0892" w:rsidRPr="00C42BF6">
              <w:rPr>
                <w:rFonts w:ascii="Arial" w:eastAsia="Arial" w:hAnsi="Arial" w:cs="Arial"/>
                <w:i/>
                <w:iCs/>
                <w:color w:val="000000"/>
              </w:rPr>
              <w:fldChar w:fldCharType="end"/>
            </w:r>
            <w:r w:rsidRPr="00C42BF6">
              <w:rPr>
                <w:rFonts w:ascii="Arial" w:eastAsia="Arial" w:hAnsi="Arial" w:cs="Arial"/>
                <w:i/>
                <w:iCs/>
                <w:color w:val="000000"/>
              </w:rPr>
              <w:t xml:space="preserve"> | Vibrio cholerae</w:t>
            </w:r>
            <w:r w:rsidR="00067C60"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{"citationID":"ewLmjJke","properties":{"formattedCitation":"\\super 167\\uc0\\u8211{}169\\nosupersub{}","plainCitation":"167–169","noteIndex":0},"citationItems":[{"id":3342,"uris":["http://zotero.org/users/local/6BakpO76/items/IGFZVFH3"],"itemData":{"id":3342,"type":"article-journal","abstract":"To cause the diarrheal disease cholera, Vibrio cholerae must effectively colonize the small intestine. In order to do so, the bacterium needs to successfully travel through the stomach and withstand the presence of agents such as bile and antimicrobial peptides in the intestinal lumen and mucus. The bacterial cells penetrate the viscous mucus layer covering the epithelium and attach and proliferate on its surface. In this review, we discuss recent developments and known aspects of the early stages of V. cholerae intestinal colonization and highlight areas that remain to be fully understood. We propose mechanisms and postulate a model that covers some of the steps that are required in order for the bacterium to efficiently colonize the human host. A deeper understanding of the colonization dynamics of V. cholerae and other intestinal pathogens will provide us with a variety of novel targets and strategies to avoid the diseases caused by these organisms.","container-title":"PLoS pathogens","DOI":"10.1371/journal.ppat.1004787","ISSN":"1553-7374","issue":"5","journalAbbreviation":"PLoS Pathog","language":"eng","note":"PMID: 25996593\nPMCID: PMC4440752","page":"e1004787","source":"PubMed","title":"Intestinal Colonization Dynamics of Vibrio cholerae","volume":"11","author":[{"family":"Almagro-Moreno","given":"Salvador"},{"family":"Pruss","given":"Kali"},{"family":"Taylor","given":"Ronald K."}],"issued":{"date-parts":[["2015",5]]}}},{"id":3340,"uris":["http://zotero.org/users/local/6BakpO76/items/9D32E36W"],"itemData":{"id":3340,"type":"article-journal","abstract":"The gut microbiome is critical in providing resistance against colonization by exogenous microorganisms. The mechanisms via which the gut microbiota provide colonization resistance (CR) have not been fully elucidated, but they include secretion of antimicrobial products, nutrient competition, support of gut barrier integrity, and bacteriophage deployment. However, bacterial enteric infections are an important cause of disease globally, indicating that microbiota-mediated CR can be disturbed and become ineffective. Changes in microbiota composition, and potential subsequent disruption of CR, can be caused by various drugs, such as antibiotics, proton pump inhibitors, antidiabetics, and antipsychotics, thereby providing opportunities for exogenous pathogens to colonize the gut and ultimately cause infection. In addition, the most prevalent bacterial enteropathogens, including Clostridioides difficile, Salmonella enterica serovar Typhimurium, enterohemorrhagic Escherichia coli, Shigella flexneri, Campylobacter jejuni, Vibrio cholerae, Yersinia enterocolitica, and Listeria monocytogenes, can employ a wide array of mechanisms to overcome colonization resistance. This review aims to summarize current knowledge on how the gut microbiota can mediate colonization resistance against bacterial enteric infection and on how bacterial enteropathogens can overcome this resistance.","container-title":"Microbiology and molecular biology reviews: MMBR","DOI":"10.1128/MMBR.00007-19","ISSN":"1098-5557","issue":"3","journalAbbreviation":"Microbiol Mol Biol Rev","language":"eng","note":"PMID: 31167904\nPMCID: PMC6710460","page":"e00007-19","source":"PubMed","title":"Gut Microbiota and Colonization Resistance against Bacterial Enteric Infection","volume":"83","author":[{"family":"Ducarmon","given":"Q. R."},{"family":"Zwittink","given":"R. D."},{"family":"Hornung","given":"B. V. H."},{"family":"Schaik","given":"W.","non-dropping-particle":"van"},{"family":"Young","given":"V. B."},{"family":"Kuijper","given":"E. J."}],"issued":{"date-parts":[["2019",8,21]]}}},{"id":3338,"uris":["http://zotero.org/users/local/6BakpO76/items/DZ6UTW4B"],"itemData":{"id":3338,"type":"article-journal","abstract":"The type VI secretion system (T6SS) is a proteinaceous weapon used by many Gram-negative bacteria to deliver toxins into adjacent target cells. Vibrio cholerae, the bacterium responsible for the fatal water-borne cholera disease, uses the T6SS to evade phagocytic eukaryotes, cause intestinal inflammation, and compete against other bacteria with toxins that disrupt lipid membranes, cell walls and actin cytoskeletons. The control of T6SS genes varies among V. cholerae strains and typically includes inputs from external signals and cues, such as quorum sensing and chitin availability. In the following review, we highlight the repertoire of toxic T6SS effectors and the diverse genetic regulation networks among different isolates of V. cholerae. Finally, we discuss the roles played by the T6SS of V. cholerae in both natural environments and hosts.","container-title":"Environmental Microbiology","DOI":"10.1111/1462-2920.14976","ISSN":"1462-2920","issue":"10","journalAbbreviation":"Environ Microbiol","language":"eng","note":"PMID: 32133757","page":"4112-4122","source":"PubMed","title":"The Vibrio cholerae type VI secretion system: toxins, regulators and consequences","title-short":"The Vibrio cholerae type VI secretion system","volume":"22","author":[{"family":"Crisan","given":"Cristian V."},{"family":"Hammer","given":"Brian K."}],"issued":{"date-parts":[["2020",10]]}}}],"schema":"https://github.com/citation-style-language/schema/raw/master/csl-citation.json"} </w:instrText>
            </w:r>
            <w:r w:rsidR="00067C60" w:rsidRPr="00C42BF6">
              <w:rPr>
                <w:rFonts w:ascii="Arial" w:eastAsia="Arial" w:hAnsi="Arial" w:cs="Arial"/>
                <w:i/>
                <w:iCs/>
                <w:color w:val="000000"/>
              </w:rPr>
              <w:fldChar w:fldCharType="separate"/>
            </w:r>
            <w:r w:rsidR="00F80CF1" w:rsidRPr="00F80CF1">
              <w:rPr>
                <w:rFonts w:ascii="Arial" w:hAnsi="Arial" w:cs="Arial"/>
                <w:color w:val="000000"/>
                <w:vertAlign w:val="superscript"/>
              </w:rPr>
              <w:t>167–169</w:t>
            </w:r>
            <w:r w:rsidR="00067C60" w:rsidRPr="00C42BF6">
              <w:rPr>
                <w:rFonts w:ascii="Arial" w:eastAsia="Arial" w:hAnsi="Arial" w:cs="Arial"/>
                <w:i/>
                <w:iCs/>
                <w:color w:val="000000"/>
              </w:rPr>
              <w:fldChar w:fldCharType="end"/>
            </w:r>
            <w:r w:rsidRPr="00C42BF6">
              <w:rPr>
                <w:rFonts w:ascii="Arial" w:eastAsia="Arial" w:hAnsi="Arial" w:cs="Arial"/>
                <w:i/>
                <w:iCs/>
                <w:color w:val="000000"/>
              </w:rPr>
              <w:t xml:space="preserve"> | Desulfovibrio</w:t>
            </w:r>
            <w:r w:rsidR="00F63975" w:rsidRPr="00C42BF6">
              <w:rPr>
                <w:rFonts w:ascii="Arial" w:eastAsia="Arial" w:hAnsi="Arial" w:cs="Arial"/>
                <w:i/>
                <w:iCs/>
                <w:color w:val="000000"/>
              </w:rPr>
              <w:fldChar w:fldCharType="begin"/>
            </w:r>
            <w:r w:rsidR="00F80CF1">
              <w:rPr>
                <w:rFonts w:ascii="Arial" w:eastAsia="Arial" w:hAnsi="Arial" w:cs="Arial"/>
                <w:i/>
                <w:iCs/>
                <w:color w:val="000000"/>
              </w:rPr>
              <w:instrText xml:space="preserve"> ADDIN ZOTERO_ITEM CSL_CITATION {"citationID":"dOq4KIA7","properties":{"formattedCitation":"\\super 170\\uc0\\u8211{}173\\nosupersub{}","plainCitation":"170–173","noteIndex":0},"citationItems":[{"id":3346,"uris":["http://zotero.org/users/local/6BakpO76/items/ST8E9WZY"],"itemData":{"id":3346,"type":"article-journal","abstract":"The intestinal mucus is a pivotal part of our intestinal protection. It provides slow diffusion of protective molecules, trapping of luminal material as bacteria and smooth transport in the small intestine. In colon it restricts bacterial access to the epithelium limiting the responses to the enormous bacterial load present at this location. The development of these systems depends on the microbiota composition as seen in our recent study comparing the mucus phenotype in 2 colonies kept in different husbandries within the same SPF animal facility. One colony had impenetrable colonic mucus while the other colony had more penetrable mucus. The mucus phenotypes were transmitted via the microbiota and clear differences in its composition could be detected. Candidates associated with the different colonies were identified but the observed mucus difference could not be assigned to a specific bacterium.","container-title":"Gut Microbes","DOI":"10.1080/19490976.2015.1086057","ISSN":"1949-0984","issue":"5","journalAbbreviation":"Gut Microbes","language":"eng","note":"PMID: 26305453\nPMCID: PMC4826096","page":"326-330","source":"PubMed","title":"The colonic mucus protection depends on the microbiota","volume":"6","author":[{"family":"Rodríguez-Piñeiro","given":"Ana M."},{"family":"Johansson","given":"Malin E. V."}],"issued":{"date-parts":[["2015"]]}}},{"id":3349,"uris":["http://zotero.org/users/local/6BakpO76/items/DDQQFQJ4"],"itemData":{"id":3349,"type":"article-journal","abstract":"BACKGROUND: Debate persists regarding the role of Desulfovibrio subspecies in ulcerative colitis. Combined microscopic and molecular techniques enable this issue to be investigated by allowing precise enumeration of specific bacterial species within the colonic mucous gel. The aim of this study was to combine laser capture microdissection and quantitative polymerase chain reaction to determine Desulfovibrio copy number in crypt-associated mucous gel in health and in acute and chronic ulcerative colitis.\nMETHODS: Colonic mucosal biopsies were harvested from healthy controls (n = 19) and patients with acute (n = 10) or chronic (n = 10) ulcerative colitis. Crypt-associated mucous gel was obtained by laser capture microdissection throughout the colon. Pan-bacterial 16S rRNA and Desulfovibrio copy number/mm were obtained by polymerase chain reaction at each locus. Bacterial copy numbers were interrogated for correlation with location and disease activity. Data were evaluated using a combination of ordinary linear methods and linear mixed-effects models to cater for multiple interactions.\nRESULTS: Desulfovibrio positivity was significantly increased in acute and chronic ulcerative colitis at multiple levels within the colon, and after normalization with total bacterial signal, the relative Desulfovibrio load was increased in acute colitis compared with controls. Desulfovibrio counts did not significantly correlate with age, disease duration, or disease activity but interlevel correlations were found in adjacent colonic segments in the healthy control and chronic ulcerative colitis groups.\nCONCLUSION: The presence of Desulfovibrio subspecies is increased in ulcerative colitis and the data presented suggest that these bacteria represent an increased percentage of the colonic microbiome in acute ulcerative colitis.","container-title":"Diseases of the Colon and Rectum","DOI":"10.1007/DCR.0b013e3181f1e620","ISSN":"1530-0358","issue":"11","journalAbbreviation":"Dis Colon Rectum","language":"eng","note":"PMID: 20940602","page":"1530-1536","source":"PubMed","title":"Desulfovibrio bacterial species are increased in ulcerative colitis","volume":"53","author":[{"family":"Rowan","given":"Fiachra"},{"family":"Docherty","given":"Neil G."},{"family":"Murphy","given":"Madeline"},{"family":"Murphy","given":"Brendan"},{"family":"Calvin Coffey","given":"John"},{"family":"O'Connell","given":"P. Ronan"}],"issued":{"date-parts":[["2010",11]]}}},{"id":3351,"uris":["http://zotero.org/users/local/6BakpO76/items/UADTTWJK"],"itemData":{"id":3351,"type":"article-journal","abstract":"The human intestine harbours a complex microbial ecosystem that performs manifold functions important to the nutrition and health of its host. Extensive study has revealed that the composition of the intestinal microbiota is altered in individuals with inflammatory bowel disease (IBD). The IBD associated intestinal microbiota generally has reduced species richness and diversity, lower temporal stability, and disruption of the secreted mucus layer structure. Multiple studies have identified certain bacterial taxa that are enriched or depleted in IBD including Enterobacteriaceae, Ruminococcus gnavus, and Desulfovibrio (enriched) and Faecalibacterium prausnitzii, Lachnospiraceae, and Akkermansia (depleted). Additionally, the relative abundance of some taxa appears to correlate with established markers of disease activity such as Enterobacteriaceae (enriched) and Lachnospiraceae (depleted). Signature shifts in fecal microbial community composition may therefore prove to be valuable as diagnostic biomarkers, particularly for longitudinal monitoring of disease activity and response to treatments.","container-title":"Best Practice &amp; Research. Clinical Gastroenterology","DOI":"10.1016/j.bpg.2013.03.005","ISSN":"1532-1916","issue":"1","journalAbbreviation":"Best Pract Res Clin Gastroenterol","language":"eng","note":"PMID: 23768552","page":"47-58","source":"PubMed","title":"Intestinal microbiota: a source of novel biomarkers in inflammatory bowel diseases?","title-short":"Intestinal microbiota","volume":"27","author":[{"family":"Berry","given":"David"},{"family":"Reinisch","given":"Walter"}],"issued":{"date-parts":[["2013",2]]}}},{"id":3353,"uris":["http://zotero.org/users/local/6BakpO76/items/53NBKURL"],"itemData":{"id":3353,"type":"article-journal","abstract":"BACKGROUND: Akkermansia muciniphila and Desulfovibrio spp. are commensal microbes colonising the mucus gel layer of the colon. Both species have the capacity to utilise colonic mucin as a substrate. A. muciniphila degrades colonic mucin, while Desulfovibrio spp. metabolise the sulfate moiety of sulfated mucins. Altered abundances of these microorganisms have been reported in ulcerative colitis (UC). However their capacity to bind to human colonic mucin, and whether this binding capacity is affected by changes in mucin associated with UC, remain to be defined.\nMETHODS: Mucin was isolated from resected colon from control patients undergoing resection for colonic cancer (n = 7) and patients undergoing resection for UC (n = 5). Isolated mucin was purified and printed onto mucin microarrays. Binding of reference strains and three clinical isolates of A. muciniphila and Desulfovibrio spp. to purified mucin was investigated.\nRESULTS: Both A. muciniphila and Desulfovibro spp. bound to mucin. The reference strain and all clinical isolates of A. muciniphila showed increased binding capacity for UC mucin (p &lt; .005). The Desulfovibrio reference strain showed increased affinity for UC mucin. The mucin binding profiles of clinical isolates of Desulfovibrio spp. were specific to each isolate. Two isolates showed no difference in binding. One UC isolate bound with increased affinity to UC mucin (p &lt; .005).\nCONCLUSION: These preliminary data suggest that differences exist in the mucin binding capacity of isolates of A. muciniphila and Desulfovibrio spp. This study highlights the mucin microarray platform as a means of studying the ability of bacteria to interact with colonic mucin in health and disease.","container-title":"PloS One","DOI":"10.1371/journal.pone.0135280","ISSN":"1932-6203","issue":"10","journalAbbreviation":"PLoS One","language":"eng","note":"PMID: 26491870\nPMCID: PMC4619660","page":"e0135280","source":"PubMed","title":"A Preliminary Study Examining the Binding Capacity of Akkermansia muciniphila and Desulfovibrio spp., to Colonic Mucin in Health and Ulcerative Colitis","volume":"10","author":[{"family":"Earley","given":"Helen"},{"family":"Lennon","given":"Grainne"},{"family":"Balfe","given":"Aine"},{"family":"Kilcoyne","given":"Michelle"},{"family":"Clyne","given":"Marguerite"},{"family":"Joshi","given":"Lokesh"},{"family":"Carrington","given":"Stephen"},{"family":"Martin","given":"Sean T."},{"family":"Coffey","given":"J. Calvin"},{"family":"Winter","given":"Desmond C."},{"family":"O'Connell","given":"P. Ronan"}],"issued":{"date-parts":[["2015"]]}}}],"schema":"https://github.com/citation-style-language/schema/raw/master/csl-citation.json"} </w:instrText>
            </w:r>
            <w:r w:rsidR="00F63975" w:rsidRPr="00C42BF6">
              <w:rPr>
                <w:rFonts w:ascii="Arial" w:eastAsia="Arial" w:hAnsi="Arial" w:cs="Arial"/>
                <w:i/>
                <w:iCs/>
                <w:color w:val="000000"/>
              </w:rPr>
              <w:fldChar w:fldCharType="separate"/>
            </w:r>
            <w:r w:rsidR="00F80CF1" w:rsidRPr="00F80CF1">
              <w:rPr>
                <w:rFonts w:ascii="Arial" w:hAnsi="Arial" w:cs="Arial"/>
                <w:color w:val="000000"/>
                <w:vertAlign w:val="superscript"/>
              </w:rPr>
              <w:t>170–173</w:t>
            </w:r>
            <w:r w:rsidR="00F63975" w:rsidRPr="00C42BF6">
              <w:rPr>
                <w:rFonts w:ascii="Arial" w:eastAsia="Arial" w:hAnsi="Arial" w:cs="Arial"/>
                <w:i/>
                <w:iCs/>
                <w:color w:val="000000"/>
              </w:rPr>
              <w:fldChar w:fldCharType="end"/>
            </w:r>
            <w:r w:rsidR="00153DC9" w:rsidRPr="00C42BF6">
              <w:rPr>
                <w:rFonts w:ascii="Arial" w:eastAsia="Arial" w:hAnsi="Arial" w:cs="Arial"/>
                <w:color w:val="000000"/>
              </w:rPr>
              <w:t xml:space="preserve"> </w:t>
            </w:r>
          </w:p>
        </w:tc>
      </w:tr>
      <w:tr w:rsidR="00580A30" w:rsidRPr="00C42BF6" w14:paraId="67C75B94" w14:textId="77777777" w:rsidTr="1FC84CC2">
        <w:trPr>
          <w:trHeight w:val="855"/>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514685"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SCFA Pathways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0B40F2" w14:textId="02D95638" w:rsidR="277E52C9" w:rsidRPr="00C42BF6" w:rsidRDefault="2EBACE1F" w:rsidP="2EBACE1F">
            <w:pPr>
              <w:jc w:val="center"/>
              <w:rPr>
                <w:rFonts w:ascii="Arial" w:eastAsia="Arial" w:hAnsi="Arial" w:cs="Arial"/>
                <w:color w:val="000000"/>
              </w:rPr>
            </w:pPr>
            <w:r w:rsidRPr="00C42BF6">
              <w:rPr>
                <w:rFonts w:ascii="Arial" w:eastAsia="Arial" w:hAnsi="Arial" w:cs="Arial"/>
                <w:color w:val="000000"/>
              </w:rPr>
              <w:t>ko00650: Butanoate metabolism</w:t>
            </w:r>
            <w:r w:rsidR="005D5580" w:rsidRPr="00C42BF6">
              <w:rPr>
                <w:rFonts w:ascii="Arial" w:eastAsia="Arial" w:hAnsi="Arial" w:cs="Arial"/>
                <w:color w:val="000000"/>
              </w:rPr>
              <w:fldChar w:fldCharType="begin"/>
            </w:r>
            <w:r w:rsidR="00F80CF1">
              <w:rPr>
                <w:rFonts w:ascii="Arial" w:eastAsia="Arial" w:hAnsi="Arial" w:cs="Arial"/>
                <w:color w:val="000000"/>
              </w:rPr>
              <w:instrText xml:space="preserve"> ADDIN ZOTERO_ITEM CSL_CITATION {"citationID":"Z610gpzR","properties":{"formattedCitation":"\\super 174,175\\nosupersub{}","plainCitation":"174,175","noteIndex":0},"citationItems":[{"id":3359,"uris":["http://zotero.org/users/local/6BakpO76/items/WNVVBF32"],"itemData":{"id":3359,"type":"article-journal","abstract":"Understanding how the gut microbiome and short-chain fatty acids (SCFAs) affect finishing weight is beneficial to improve meat production in the meat rabbit industry. In this study, we identified 15 OTUs and 23 microbial species associated with finishing weight using 16S rRNA gene and metagenomic sequencing analysis, respectively. Among these, butyrate-producing bacteria of the family Ruminococcaceae were positively associated with finishing weight, whereas the microbial taxa related to intestinal damage and inflammation showed opposite effects. Furthermore, interactions of these microbial taxa were firstly found to be associated with finishing weight. Gut microbial functional capacity analysis revealed that CAZymes, such as galactosidase, xylanase, and glucosidase, could significantly affect finishing weight, given their roles in regulating nutrient digestibility. GOs related to the metabolism of several carbohydrates and amino acids also showed important effects on finishing weight. Additionally, both KOs and KEGG pathways related to the membrane transportation system and involved in aminoacyl-tRNA biosynthesis and butanoate metabolism could act as key factors in modulating finishing weight. Importantly, gut microbiome explained nearly 11% of the variation in finishing weight, and our findings revealed that a subset of metagenomic species could act as predictors of finishing weight. SCFAs levels, especially butyrate level, had critical impacts on finishing weight, and several finishing weight-associated species were potentially contributed to the shift in butyrate level. Thus, our results should give deep insights into how gut microbiome and SCFAs influence finishing weight of meat rabbits and provide essential knowledge for improving finishing weight by manipulating gut microbiome.","container-title":"Frontiers in Microbiology","DOI":"10.3389/fmicb.2020.01835","ISSN":"1664-302X","journalAbbreviation":"Front Microbiol","language":"eng","note":"PMID: 32849435\nPMCID: PMC7431612","page":"1835","source":"PubMed","title":"Effects of Gut Microbiome and Short-Chain Fatty Acids (SCFAs) on Finishing Weight of Meat Rabbits","volume":"11","author":[{"family":"Fang","given":"Shaoming"},{"family":"Chen","given":"Xuan"},{"family":"Ye","given":"Xiaoxing"},{"family":"Zhou","given":"Liwen"},{"family":"Xue","given":"Shuaishuai"},{"family":"Gan","given":"Qianfu"}],"issued":{"date-parts":[["2020"]]}}},{"id":3356,"uris":["http://zotero.org/users/local/6BakpO76/items/3HFV99EQ"],"itemData":{"id":3356,"type":"article-journal","abstract":"Chronic urticaria (CU) is defined as the continuous or intermittent presence of urticaria for a period exceeding 6 weeks and sometimes occurring with angioedema. Between 66 and 93% of patients with CU have chronic spontaneous urticaria (CSU), the precise pathogenesis of which is largely unknown. The aim of this study was to determine the relationship between gut microbiota and serum metabolites and the possible pathogenesis underlying CSU. We collected feces and blood samples from CSU patients and healthy controls and the relationship between gut microbiota and serum metabolites was assessed using 16S rRNA gene sequencing and untargeted metabolomic analyses. The CSU group exhibited decreased alpha diversity of the microbial population compared to the control group. The abundance of unidentified Enterobacteriaceae was increased, while the abundance of Bacteroides, Faecalibacterium, Bifidobacterium, and unidentified Ruminococcaceae was significantly reduced in CSU patients. The serum metabolome analysis revealed altered levels of docosahexaenoic acid, arachidonic acid, glutamate, and succinic acid, suggesting changes in unsaturated fatty acids and the butanoate metabolism pathway. The combined serum metabolomics and gut microbiome datasets were correlated; specifically, docosahexaenoic acid, and arachidonic acid were positively correlated with Bacteroides. We speculate that alterations in gut microbes and metabolites may contribute to exacerbated inflammatory responses and dysregulated immune function with or without regulatory T cell dependence in the pathogenesis of CSU.","container-title":"Frontiers in Cellular and Infection Microbiology","DOI":"10.3389/fcimb.2020.00024","ISSN":"2235-2988","journalAbbreviation":"Front Cell Infect Microbiol","language":"eng","note":"PMID: 32154184\nPMCID: PMC7047433","page":"24","source":"PubMed","title":"Gut Microbiome and Serum Metabolome Analyses Identify Unsaturated Fatty Acids and Butanoate Metabolism Induced by Gut Microbiota in Patients With Chronic Spontaneous Urticaria","volume":"10","author":[{"family":"Wang","given":"Detong"},{"family":"Guo","given":"Shuping"},{"family":"He","given":"Hongxia"},{"family":"Gong","given":"Li"},{"family":"Cui","given":"Hongzhou"}],"issued":{"date-parts":[["2020"]]}}}],"schema":"https://github.com/citation-style-language/schema/raw/master/csl-citation.json"} </w:instrText>
            </w:r>
            <w:r w:rsidR="005D5580" w:rsidRPr="00C42BF6">
              <w:rPr>
                <w:rFonts w:ascii="Arial" w:eastAsia="Arial" w:hAnsi="Arial" w:cs="Arial"/>
                <w:color w:val="000000"/>
              </w:rPr>
              <w:fldChar w:fldCharType="separate"/>
            </w:r>
            <w:r w:rsidR="00F80CF1" w:rsidRPr="00F80CF1">
              <w:rPr>
                <w:rFonts w:ascii="Arial" w:hAnsi="Arial" w:cs="Arial"/>
                <w:color w:val="000000"/>
                <w:vertAlign w:val="superscript"/>
              </w:rPr>
              <w:t>174,175</w:t>
            </w:r>
            <w:r w:rsidR="005D5580" w:rsidRPr="00C42BF6">
              <w:rPr>
                <w:rFonts w:ascii="Arial" w:eastAsia="Arial" w:hAnsi="Arial" w:cs="Arial"/>
                <w:color w:val="000000"/>
              </w:rPr>
              <w:fldChar w:fldCharType="end"/>
            </w:r>
            <w:r w:rsidRPr="00C42BF6">
              <w:rPr>
                <w:rFonts w:ascii="Arial" w:eastAsia="Arial" w:hAnsi="Arial" w:cs="Arial"/>
                <w:color w:val="000000"/>
              </w:rPr>
              <w:t xml:space="preserve"> | ko00640: Propanoate metabolism</w:t>
            </w:r>
            <w:r w:rsidR="004F56BA" w:rsidRPr="00C42BF6">
              <w:rPr>
                <w:rFonts w:ascii="Arial" w:eastAsia="Arial" w:hAnsi="Arial" w:cs="Arial"/>
                <w:color w:val="000000"/>
              </w:rPr>
              <w:fldChar w:fldCharType="begin"/>
            </w:r>
            <w:r w:rsidR="00F80CF1">
              <w:rPr>
                <w:rFonts w:ascii="Arial" w:eastAsia="Arial" w:hAnsi="Arial" w:cs="Arial"/>
                <w:color w:val="000000"/>
              </w:rPr>
              <w:instrText xml:space="preserve"> ADDIN ZOTERO_ITEM CSL_CITATION {"citationID":"sch4F4qU","properties":{"formattedCitation":"\\super 176\\nosupersub{}","plainCitation":"176","noteIndex":0},"citationItems":[{"id":3362,"uris":["http://zotero.org/users/local/6BakpO76/items/C7L5KWV4"],"itemData":{"id":3362,"type":"article-journal","abstract":"A number of studies have associated obesity with altered gut microbiota, although results are discordant regarding compositional changes in the gut microbiota of obese animals. Herein we used a meta-analysis to obtain an unbiased evaluation of structural and functional changes of the gut microbiota in diet-induced obese rodents. The raw sequencing data of nine studies generated from high-fat diet (HFD)-induced obese rodent models were processed with QIIME to obtain gut microbiota compositions. Biological functions were predicted and annotated with KEGG pathways with PICRUSt. No significant difference was observed for alpha diversity and Bacteroidetes-to-Firmicutes ratio between obese and lean rodents. Bacteroidia, Clostridia, Bacilli, and Erysipelotrichi were dominant classes, but gut microbiota compositions varied among studies. Meta-analysis of the nine microbiome data sets identified 15 differential taxa and 57 differential pathways between obese and lean rodents. In obese rodents, increased abundance was observed for Dorea, Oscillospira, and Ruminococcus, known for fermenting polysaccharide into short chain fatty acids (SCFAs). Decreased Turicibacter and increased Lactococcus are consistent with elevated inflammation in the obese status. Differential functional pathways of the gut microbiome in obese rodents included enriched pyruvate metabolism, butanoate metabolism, propanoate metabolism, pentose phosphate pathway, fatty acid biosynthesis, and glycerolipid metabolism pathways. These pathways converge in the function of carbohydrate metabolism, SCFA metabolism, and biosynthesis of lipid. HFD-induced obesity results in structural and functional dysbiosis of gut microbiota. The altered gut microbiome may contribute to obesity development by promoting insulin resistance and systemic inflammation.","container-title":"Physiological Genomics","DOI":"10.1152/physiolgenomics.00114.2017","ISSN":"1531-2267","issue":"4","journalAbbreviation":"Physiol Genomics","language":"eng","note":"PMID: 29373083","page":"244-254","source":"PubMed","title":"Gut microbiome may contribute to insulin resistance and systemic inflammation in obese rodents: a meta-analysis","title-short":"Gut microbiome may contribute to insulin resistance and systemic inflammation in obese rodents","volume":"50","author":[{"family":"Jiao","given":"Na"},{"family":"Baker","given":"Susan S."},{"family":"Nugent","given":"Colleen A."},{"family":"Tsompana","given":"Maria"},{"family":"Cai","given":"Liting"},{"family":"Wang","given":"Yong"},{"family":"Buck","given":"Michael J."},{"family":"Genco","given":"Robert J."},{"family":"Baker","given":"Robert D."},{"family":"Zhu","given":"Ruixin"},{"family":"Zhu","given":"Lixin"}],"issued":{"date-parts":[["2018",4,1]]}}}],"schema":"https://github.com/citation-style-language/schema/raw/master/csl-citation.json"} </w:instrText>
            </w:r>
            <w:r w:rsidR="004F56BA" w:rsidRPr="00C42BF6">
              <w:rPr>
                <w:rFonts w:ascii="Arial" w:eastAsia="Arial" w:hAnsi="Arial" w:cs="Arial"/>
                <w:color w:val="000000"/>
              </w:rPr>
              <w:fldChar w:fldCharType="separate"/>
            </w:r>
            <w:r w:rsidR="00F80CF1" w:rsidRPr="00F80CF1">
              <w:rPr>
                <w:rFonts w:ascii="Arial" w:hAnsi="Arial" w:cs="Arial"/>
                <w:color w:val="000000"/>
                <w:vertAlign w:val="superscript"/>
              </w:rPr>
              <w:t>176</w:t>
            </w:r>
            <w:r w:rsidR="004F56BA" w:rsidRPr="00C42BF6">
              <w:rPr>
                <w:rFonts w:ascii="Arial" w:eastAsia="Arial" w:hAnsi="Arial" w:cs="Arial"/>
                <w:color w:val="000000"/>
              </w:rPr>
              <w:fldChar w:fldCharType="end"/>
            </w:r>
            <w:r w:rsidRPr="00C42BF6">
              <w:rPr>
                <w:rFonts w:ascii="Arial" w:eastAsia="Arial" w:hAnsi="Arial" w:cs="Arial"/>
                <w:color w:val="000000"/>
              </w:rPr>
              <w:t xml:space="preserve"> | ko00630: Glyoxylate and dicarboxylate metabolism</w:t>
            </w:r>
            <w:r w:rsidR="00674D1D" w:rsidRPr="00C42BF6">
              <w:rPr>
                <w:rFonts w:ascii="Arial" w:eastAsia="Arial" w:hAnsi="Arial" w:cs="Arial"/>
                <w:color w:val="000000"/>
              </w:rPr>
              <w:fldChar w:fldCharType="begin"/>
            </w:r>
            <w:r w:rsidR="00F80CF1">
              <w:rPr>
                <w:rFonts w:ascii="Arial" w:eastAsia="Arial" w:hAnsi="Arial" w:cs="Arial"/>
                <w:color w:val="000000"/>
              </w:rPr>
              <w:instrText xml:space="preserve"> ADDIN ZOTERO_ITEM CSL_CITATION {"citationID":"vdPKJ47q","properties":{"formattedCitation":"\\super 177\\nosupersub{}","plainCitation":"177","noteIndex":0},"citationItems":[{"id":3365,"uris":["http://zotero.org/users/local/6BakpO76/items/6AC2DTNF"],"itemData":{"id":3365,"type":"article-journal","abstract":"The human gut microbiome has been associated with metabolic disorders including obesity, type 2 diabetes, and atherosclerosis. Understanding the contribution of microbiome metabolic changes is important for elucidating the role of gut bacteria in regulating metabolism. We used available metagenomics data from these metabolic disorders, together with genome-scale metabolic modeling of key bacteria in the individual and community-level to investigate the mechanistic role of the gut microbiome in metabolic diseases. Modeling predicted increased levels of glutamate consumption along with the production of ammonia, arginine, and proline in gut bacteria common across the disorders. Abundance profiles and network-dependent analysis identified the enrichment of tartrate dehydrogenase in the disorders. Moreover, independent plasma metabolite levels showed associations between metabolites including proline and tyrosine and an increased tartrate metabolism in healthy obese individuals. We, therefore, propose that an increased tartrate metabolism could be a significant mediator of the microbiome metabolic changes in metabolic disorders.","container-title":"iScience","DOI":"10.1016/j.isci.2022.104513","ISSN":"2589-0042","issue":"7","journalAbbreviation":"iScience","language":"eng","note":"PMID: 35754734\nPMCID: PMC9213702","page":"104513","source":"PubMed","title":"Genome-scale metabolic modelling of the human gut microbiome reveals changes in the glyoxylate and dicarboxylate metabolism in metabolic disorders","volume":"25","author":[{"family":"Proffitt","given":"Ceri"},{"family":"Bidkhori","given":"Gholamreza"},{"family":"Lee","given":"Sunjae"},{"family":"Tebani","given":"Abdellah"},{"family":"Mardinoglu","given":"Adil"},{"family":"Uhlen","given":"Mathias"},{"family":"Moyes","given":"David L."},{"family":"Shoaie","given":"Saeed"}],"issued":{"date-parts":[["2022",7,15]]}}}],"schema":"https://github.com/citation-style-language/schema/raw/master/csl-citation.json"} </w:instrText>
            </w:r>
            <w:r w:rsidR="00674D1D" w:rsidRPr="00C42BF6">
              <w:rPr>
                <w:rFonts w:ascii="Arial" w:eastAsia="Arial" w:hAnsi="Arial" w:cs="Arial"/>
                <w:color w:val="000000"/>
              </w:rPr>
              <w:fldChar w:fldCharType="separate"/>
            </w:r>
            <w:r w:rsidR="00F80CF1" w:rsidRPr="00F80CF1">
              <w:rPr>
                <w:rFonts w:ascii="Arial" w:hAnsi="Arial" w:cs="Arial"/>
                <w:color w:val="000000"/>
                <w:vertAlign w:val="superscript"/>
              </w:rPr>
              <w:t>177</w:t>
            </w:r>
            <w:r w:rsidR="00674D1D" w:rsidRPr="00C42BF6">
              <w:rPr>
                <w:rFonts w:ascii="Arial" w:eastAsia="Arial" w:hAnsi="Arial" w:cs="Arial"/>
                <w:color w:val="000000"/>
              </w:rPr>
              <w:fldChar w:fldCharType="end"/>
            </w:r>
            <w:r w:rsidRPr="00C42BF6">
              <w:rPr>
                <w:rFonts w:ascii="Arial" w:eastAsia="Arial" w:hAnsi="Arial" w:cs="Arial"/>
                <w:color w:val="000000"/>
              </w:rPr>
              <w:t xml:space="preserve"> | ko00620: Pyruvate metabolism</w:t>
            </w:r>
            <w:r w:rsidR="00621D62" w:rsidRPr="00C42BF6">
              <w:rPr>
                <w:rFonts w:ascii="Arial" w:eastAsia="Arial" w:hAnsi="Arial" w:cs="Arial"/>
                <w:color w:val="000000"/>
              </w:rPr>
              <w:fldChar w:fldCharType="begin"/>
            </w:r>
            <w:r w:rsidR="00F80CF1">
              <w:rPr>
                <w:rFonts w:ascii="Arial" w:eastAsia="Arial" w:hAnsi="Arial" w:cs="Arial"/>
                <w:color w:val="000000"/>
              </w:rPr>
              <w:instrText xml:space="preserve"> ADDIN ZOTERO_ITEM CSL_CITATION {"citationID":"AItLwmvt","properties":{"formattedCitation":"\\super 176,178,179\\nosupersub{}","plainCitation":"176,178,179","noteIndex":0},"citationItems":[{"id":3362,"uris":["http://zotero.org/users/local/6BakpO76/items/C7L5KWV4"],"itemData":{"id":3362,"type":"article-journal","abstract":"A number of studies have associated obesity with altered gut microbiota, although results are discordant regarding compositional changes in the gut microbiota of obese animals. Herein we used a meta-analysis to obtain an unbiased evaluation of structural and functional changes of the gut microbiota in diet-induced obese rodents. The raw sequencing data of nine studies generated from high-fat diet (HFD)-induced obese rodent models were processed with QIIME to obtain gut microbiota compositions. Biological functions were predicted and annotated with KEGG pathways with PICRUSt. No significant difference was observed for alpha diversity and Bacteroidetes-to-Firmicutes ratio between obese and lean rodents. Bacteroidia, Clostridia, Bacilli, and Erysipelotrichi were dominant classes, but gut microbiota compositions varied among studies. Meta-analysis of the nine microbiome data sets identified 15 differential taxa and 57 differential pathways between obese and lean rodents. In obese rodents, increased abundance was observed for Dorea, Oscillospira, and Ruminococcus, known for fermenting polysaccharide into short chain fatty acids (SCFAs). Decreased Turicibacter and increased Lactococcus are consistent with elevated inflammation in the obese status. Differential functional pathways of the gut microbiome in obese rodents included enriched pyruvate metabolism, butanoate metabolism, propanoate metabolism, pentose phosphate pathway, fatty acid biosynthesis, and glycerolipid metabolism pathways. These pathways converge in the function of carbohydrate metabolism, SCFA metabolism, and biosynthesis of lipid. HFD-induced obesity results in structural and functional dysbiosis of gut microbiota. The altered gut microbiome may contribute to obesity development by promoting insulin resistance and systemic inflammation.","container-title":"Physiological Genomics","DOI":"10.1152/physiolgenomics.00114.2017","ISSN":"1531-2267","issue":"4","journalAbbreviation":"Physiol Genomics","language":"eng","note":"PMID: 29373083","page":"244-254","source":"PubMed","title":"Gut microbiome may contribute to insulin resistance and systemic inflammation in obese rodents: a meta-analysis","title-short":"Gut microbiome may contribute to insulin resistance and systemic inflammation in obese rodents","volume":"50","author":[{"family":"Jiao","given":"Na"},{"family":"Baker","given":"Susan S."},{"family":"Nugent","given":"Colleen A."},{"family":"Tsompana","given":"Maria"},{"family":"Cai","given":"Liting"},{"family":"Wang","given":"Yong"},{"family":"Buck","given":"Michael J."},{"family":"Genco","given":"Robert J."},{"family":"Baker","given":"Robert D."},{"family":"Zhu","given":"Ruixin"},{"family":"Zhu","given":"Lixin"}],"issued":{"date-parts":[["2018",4,1]]}}},{"id":3371,"uris":["http://zotero.org/users/local/6BakpO76/items/CEB72AEE"],"itemData":{"id":3371,"type":"article-journal","abstract":"BACKGROUND: Alteration of the gut microbiota by repeated antibiotic treatment increases susceptibility to Clostridioides difficile infection. Faecal microbiota transplantation from donors with a normal microbiota effectively treats C. difficile infection.\nMETHODS: The study involved 10 patients with recurrent C. difficile infection, nine of whom received transplants from individual donors and one who received a donor unit from a stool bank (OpenBiome).\nRESULTS: All individuals demonstrated enduring post-transplant resolution of C. difficile- associated diarrhoea. Faecal microbiota diversity of recipients significantly increased, and the composition of the microbiota resembled that of the donor. Patients with C. difficile infection exhibited significantly lower faecal levels of secondary/ bile acids and higher levels of primary bile acids. Levels of secondary bile acids were restored in all transplant recipients, but to a lower degree with the OpenBiome transplant. The abundance increased of bacterial genera known from previous studies to confer resistance to growth and germination of C. difficile. These were significantly negatively associated with primary bile acid levels and positively related with secondary bile acid levels. Although reduced levels of the short chain fatty acids, butyrate, propionate and acetate, have been previously reported, here we report elevations in SCFA, pyruvic and lactic fatty acids, saturated, ω-6, monounsaturated, ω-3 and ω-6 polyunsaturated fatty acids (PUFA) in C. difficile infection. This potentially indicates one or a combination of increased dietary FA intake, microbial modification of FAs or epithelial cell damage and inflammatory cell recruitment. No reversion to donor FA profile occurred post-FMT but ω-3 to ω-6 PUFA ratios were altered in the direction of the donor. Archaeal metabolism genes were found in some samples post FMT.\nCONCLUSION: A consistent metabolic signature was identified in the post-transplant microbiota, with reduced primary bile acids and substantial restoration of secondary bile acid production capacity. Total FA levels were unchanged but the ratio of inflammatory to non-inflammatory FAs decreased.","container-title":"BMC gastroenterology","DOI":"10.1186/s12876-018-0860-5","ISSN":"1471-230X","issue":"1","journalAbbreviation":"BMC Gastroenterol","language":"eng","note":"PMID: 30153805\nPMCID: PMC6114236","page":"131","source":"PubMed","title":"Changes in microbiota composition, bile and fatty acid metabolism, in successful faecal microbiota transplantation for Clostridioides difficile infection","volume":"18","author":[{"family":"Brown","given":"Jillian R.-M."},{"family":"Flemer","given":"Burkhardt"},{"family":"Joyce","given":"Susan A."},{"family":"Zulquernain","given":"Akbar"},{"family":"Sheehan","given":"Donal"},{"family":"Shanahan","given":"Fergus"},{"family":"O'Toole","given":"Paul W."}],"issued":{"date-parts":[["2018",8,28]]}}},{"id":3368,"uris":["http://zotero.org/users/local/6BakpO76/items/WVCPPVK4"],"itemData":{"id":3368,"type":"article-journal","abstract":"Pyruvate is a keystone molecule critical for numerous aspects of eukaryotic and human metabolism. Pyruvate is the end-product of glycolysis, is derived from additional sources in the cellular cytoplasm, and is ultimately destined for transport into mitochondria as a master fuel input undergirding citric acid cycle carbon flux. In mitochondria, pyruvate drives ATP production by oxidative phosphorylation and multiple biosynthetic pathways intersecting the citric acid cycle. Mitochondrial pyruvate metabolism is regulated by many enzymes, including the recently discovered mitochondria pyruvate carrier, pyruvate dehydrogenase, and pyruvate carboxylase, to modulate overall pyruvate carbon flux. Mutations in any of the genes encoding for proteins regulating pyruvate metabolism may lead to disease. Numerous cases have been described. Aberrant pyruvate metabolism plays an especially prominent role in cancer, heart failure, and neurodegeneration. Because most major diseases involve aberrant metabolism, understanding and exploiting pyruvate carbon flux may yield novel treatments that enhance human health.","container-title":"Cellular and molecular life sciences: CMLS","DOI":"10.1007/s00018-013-1539-2","ISSN":"1420-9071","issue":"14","journalAbbreviation":"Cell Mol Life Sci","language":"eng","note":"PMID: 24363178\nPMCID: PMC4059968","page":"2577-2604","source":"PubMed","title":"Regulation of pyruvate metabolism and human disease","volume":"71","author":[{"family":"Gray","given":"Lawrence R."},{"family":"Tompkins","given":"Sean C."},{"family":"Taylor","given":"Eric B."}],"issued":{"date-parts":[["2014",7]]}}}],"schema":"https://github.com/citation-style-language/schema/raw/master/csl-citation.json"} </w:instrText>
            </w:r>
            <w:r w:rsidR="00621D62" w:rsidRPr="00C42BF6">
              <w:rPr>
                <w:rFonts w:ascii="Arial" w:eastAsia="Arial" w:hAnsi="Arial" w:cs="Arial"/>
                <w:color w:val="000000"/>
              </w:rPr>
              <w:fldChar w:fldCharType="separate"/>
            </w:r>
            <w:r w:rsidR="00F80CF1" w:rsidRPr="00F80CF1">
              <w:rPr>
                <w:rFonts w:ascii="Arial" w:hAnsi="Arial" w:cs="Arial"/>
                <w:color w:val="000000"/>
                <w:vertAlign w:val="superscript"/>
              </w:rPr>
              <w:t>176,178,179</w:t>
            </w:r>
            <w:r w:rsidR="00621D62" w:rsidRPr="00C42BF6">
              <w:rPr>
                <w:rFonts w:ascii="Arial" w:eastAsia="Arial" w:hAnsi="Arial" w:cs="Arial"/>
                <w:color w:val="000000"/>
              </w:rPr>
              <w:fldChar w:fldCharType="end"/>
            </w:r>
            <w:r w:rsidRPr="00C42BF6">
              <w:rPr>
                <w:rFonts w:ascii="Arial" w:eastAsia="Arial" w:hAnsi="Arial" w:cs="Arial"/>
                <w:color w:val="000000"/>
              </w:rPr>
              <w:t xml:space="preserve"> | ko00040: pentose and glucuronate interconversions</w:t>
            </w:r>
            <w:r w:rsidR="002C27E2" w:rsidRPr="00C42BF6">
              <w:rPr>
                <w:rFonts w:ascii="Arial" w:eastAsia="Arial" w:hAnsi="Arial" w:cs="Arial"/>
                <w:color w:val="000000"/>
              </w:rPr>
              <w:fldChar w:fldCharType="begin"/>
            </w:r>
            <w:r w:rsidR="00F80CF1">
              <w:rPr>
                <w:rFonts w:ascii="Arial" w:eastAsia="Arial" w:hAnsi="Arial" w:cs="Arial"/>
                <w:color w:val="000000"/>
              </w:rPr>
              <w:instrText xml:space="preserve"> ADDIN ZOTERO_ITEM CSL_CITATION {"citationID":"kwRjhbRg","properties":{"formattedCitation":"\\super 180\\nosupersub{}","plainCitation":"180","noteIndex":0},"citationItems":[{"id":3374,"uris":["http://zotero.org/users/local/6BakpO76/items/X42LY949"],"itemData":{"id":3374,"type":"article-journal","abstract":"Gut microbiome plays an essential role in host health, and there is interest in utilizing diet to modulate the composition and function of microbial communities. Copra meal hydrolysate (CMH) is commonly used as a natural additive to enhance health. However, the gut microbiome is largely unknown at species level and is associated with metabolic routes involving short-chain fatty acids (SCFAs). In this study, we aimed to analyze, using integrative metagenomics, the predominant species and metabolic routes involved in SCFAs production in the human gut microbiome after treatment with CMH. The effect of CMH treatment on the Thai gut microbiome was demonstrated using 16S rRNA genes with whole-metagenome shotgun (WMGS) sequencing technology. Accordingly, these results revealed that CMH has potentially beneficial effects on the gut microbiome. Twelve predominant bacterial species, as well as their potential metabolic routes, were involved in cooperative microbiome networks under sugar utilization (e.g., glucose, mannose, or xylose) and energy supply (e.g., NADH and ATP) in relation to SCFAs biosynthesis. These findings suggest that CMH may be used as a potential prebiotic diet for modulating and maintaining the gut microbiome. To our knowledge, this is the first study to reveal the predominant bacterial species and metabolic routes in the Thai gut microbiome after treatment with potential prebiotics.","container-title":"Biology","DOI":"10.3390/biology12010021","ISSN":"2079-7737","issue":"1","journalAbbreviation":"Biology (Basel)","language":"eng","note":"PMID: 36671714\nPMCID: PMC9855101","page":"21","source":"PubMed","title":"Analyzing Predominant Bacterial Species and Potential Short-Chain Fatty Acid-Associated Metabolic Routes in Human Gut Microbiome Using Integrative Metagenomics","volume":"12","author":[{"family":"Kingkaw","given":"Amornthep"},{"family":"Raethong","given":"Nachon"},{"family":"Patumcharoenpol","given":"Preecha"},{"family":"Suratannon","given":"Narissara"},{"family":"Nakphaichit","given":"Massalin"},{"family":"Keawsompong","given":"Suttipun"},{"family":"Roytrakul","given":"Sittiruk"},{"family":"Vongsangnak","given":"Wanwipa"}],"issued":{"date-parts":[["2022",12,22]]}}}],"schema":"https://github.com/citation-style-language/schema/raw/master/csl-citation.json"} </w:instrText>
            </w:r>
            <w:r w:rsidR="002C27E2" w:rsidRPr="00C42BF6">
              <w:rPr>
                <w:rFonts w:ascii="Arial" w:eastAsia="Arial" w:hAnsi="Arial" w:cs="Arial"/>
                <w:color w:val="000000"/>
              </w:rPr>
              <w:fldChar w:fldCharType="separate"/>
            </w:r>
            <w:r w:rsidR="00F80CF1" w:rsidRPr="00F80CF1">
              <w:rPr>
                <w:rFonts w:ascii="Arial" w:hAnsi="Arial" w:cs="Arial"/>
                <w:color w:val="000000"/>
                <w:vertAlign w:val="superscript"/>
              </w:rPr>
              <w:t>180</w:t>
            </w:r>
            <w:r w:rsidR="002C27E2" w:rsidRPr="00C42BF6">
              <w:rPr>
                <w:rFonts w:ascii="Arial" w:eastAsia="Arial" w:hAnsi="Arial" w:cs="Arial"/>
                <w:color w:val="000000"/>
              </w:rPr>
              <w:fldChar w:fldCharType="end"/>
            </w:r>
            <w:r w:rsidRPr="00C42BF6">
              <w:rPr>
                <w:rFonts w:ascii="Arial" w:eastAsia="Arial" w:hAnsi="Arial" w:cs="Arial"/>
                <w:color w:val="000000"/>
              </w:rPr>
              <w:t>  </w:t>
            </w:r>
          </w:p>
        </w:tc>
      </w:tr>
      <w:tr w:rsidR="00580A30" w:rsidRPr="00C42BF6" w14:paraId="10BEC27E" w14:textId="77777777" w:rsidTr="1FC84CC2">
        <w:trPr>
          <w:trHeight w:val="585"/>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112A89"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LPS Biosynthesis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99A795" w14:textId="190221A2" w:rsidR="277E52C9" w:rsidRPr="00C42BF6" w:rsidRDefault="2EBACE1F" w:rsidP="2EBACE1F">
            <w:pPr>
              <w:jc w:val="center"/>
              <w:rPr>
                <w:rFonts w:ascii="Arial" w:eastAsia="Arial" w:hAnsi="Arial" w:cs="Arial"/>
                <w:color w:val="000000"/>
              </w:rPr>
            </w:pPr>
            <w:r w:rsidRPr="00C42BF6">
              <w:rPr>
                <w:rFonts w:ascii="Arial" w:eastAsia="Arial" w:hAnsi="Arial" w:cs="Arial"/>
                <w:color w:val="000000"/>
              </w:rPr>
              <w:t>ko00540: Lipopolysaccharide biosynthesis</w:t>
            </w:r>
            <w:r w:rsidR="00E501F6" w:rsidRPr="00C42BF6">
              <w:rPr>
                <w:rFonts w:ascii="Arial" w:eastAsia="Arial" w:hAnsi="Arial" w:cs="Arial"/>
                <w:color w:val="000000"/>
              </w:rPr>
              <w:fldChar w:fldCharType="begin"/>
            </w:r>
            <w:r w:rsidR="00F80CF1">
              <w:rPr>
                <w:rFonts w:ascii="Arial" w:eastAsia="Arial" w:hAnsi="Arial" w:cs="Arial"/>
                <w:color w:val="000000"/>
              </w:rPr>
              <w:instrText xml:space="preserve"> ADDIN ZOTERO_ITEM CSL_CITATION {"citationID":"NOGbnrAp","properties":{"formattedCitation":"\\super 181,182\\nosupersub{}","plainCitation":"181,182","noteIndex":0},"citationItems":[{"id":3379,"uris":["http://zotero.org/users/local/6BakpO76/items/A8HMUUML"],"itemData":{"id":3379,"type":"article-journal","abstract":"Lipopolysaccharide that constitutes the outer leaflet of the outer membrane of most Gram-negative bacteria is referred to as an endotoxin. It is comprised of a hydrophilic polysaccharide and a hydrophobic component referred to as lipid A. Lipid A is responsible for the major bioactivity of endotoxin, and is recognized by immune cells as a pathogen-associated molecule. Most enzymes and genes coding for proteins responsible for the biosynthesis and export of lipopolysaccharide in Escherichia coli have been identified, and they are shared by most Gram-negative bacteria based on genetic information. The detailed structure of lipopolysaccharide differs from one bacterium to another, consistent with the recent discovery of additional enzymes and gene products that can modify the basic structure of lipopolysaccharide in some bacteria, especially pathogens. These modifications are not required for survival, but are tightly regulated in the cell and closely related to the virulence of bacteria. In this review we discuss recent studies of the biosynthesis and export of lipopolysaccharide, and the relationship between the structure of lipopolysaccharide and the virulence of bacteria.","container-title":"Progress in Lipid Research","DOI":"10.1016/j.plipres.2009.06.002","ISSN":"1873-2194","issue":"2","journalAbbreviation":"Prog Lipid Res","language":"eng","note":"PMID: 19815028","page":"97-107","source":"PubMed","title":"Lipopolysaccharide: Biosynthetic pathway and structure modification","title-short":"Lipopolysaccharide","volume":"49","author":[{"family":"Wang","given":"Xiaoyuan"},{"family":"Quinn","given":"Peter J."}],"issued":{"date-parts":[["2010",4]]}}},{"id":3377,"uris":["http://zotero.org/users/local/6BakpO76/items/3X296ZYV"],"itemData":{"id":3377,"type":"article-journal","abstract":"Gram-negative bacteria have an outer membrane that is positioned at the frontline of the cell's interaction with the environment and that serves as a barrier against noxious molecules including many antibiotics. This protective function mainly relies on lipopolysaccharide, a complex glycolipid located in the outer leaflet of the outer membrane. In this chapter we will first summarize lipopolysaccharide structure, functions and biosynthetic pathway and then we will discuss how it is transported and assembled to the cell surface. This is a remarkably complex process, as amphipathic lipopolysaccharide molecules must traverse three different cellular compartments to reach their final destination.","container-title":"Sub-Cellular Biochemistry","DOI":"10.1007/978-3-030-18768-2_2","ISSN":"0306-0225","journalAbbreviation":"Subcell Biochem","language":"eng","note":"PMID: 31214983","page":"9-37","source":"PubMed","title":"Lipopolysaccharide Biosynthesis and Transport to the Outer Membrane of Gram-Negative Bacteria","volume":"92","author":[{"family":"Sperandeo","given":"Paola"},{"family":"Martorana","given":"Alessandra M."},{"family":"Polissi","given":"Alessandra"}],"issued":{"date-parts":[["2019"]]}}}],"schema":"https://github.com/citation-style-language/schema/raw/master/csl-citation.json"} </w:instrText>
            </w:r>
            <w:r w:rsidR="00E501F6" w:rsidRPr="00C42BF6">
              <w:rPr>
                <w:rFonts w:ascii="Arial" w:eastAsia="Arial" w:hAnsi="Arial" w:cs="Arial"/>
                <w:color w:val="000000"/>
              </w:rPr>
              <w:fldChar w:fldCharType="separate"/>
            </w:r>
            <w:r w:rsidR="00F80CF1" w:rsidRPr="00F80CF1">
              <w:rPr>
                <w:rFonts w:ascii="Arial" w:hAnsi="Arial" w:cs="Arial"/>
                <w:color w:val="000000"/>
                <w:vertAlign w:val="superscript"/>
              </w:rPr>
              <w:t>181,182</w:t>
            </w:r>
            <w:r w:rsidR="00E501F6" w:rsidRPr="00C42BF6">
              <w:rPr>
                <w:rFonts w:ascii="Arial" w:eastAsia="Arial" w:hAnsi="Arial" w:cs="Arial"/>
                <w:color w:val="000000"/>
              </w:rPr>
              <w:fldChar w:fldCharType="end"/>
            </w:r>
            <w:r w:rsidRPr="00C42BF6">
              <w:rPr>
                <w:rFonts w:ascii="Arial" w:eastAsia="Arial" w:hAnsi="Arial" w:cs="Arial"/>
                <w:color w:val="000000"/>
              </w:rPr>
              <w:t> </w:t>
            </w:r>
          </w:p>
        </w:tc>
      </w:tr>
      <w:tr w:rsidR="00580A30" w:rsidRPr="00C42BF6" w14:paraId="5A633B9D" w14:textId="77777777" w:rsidTr="1FC84CC2">
        <w:trPr>
          <w:trHeight w:val="480"/>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381A91"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lastRenderedPageBreak/>
              <w:t>Glutathione Metabolism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5FE864" w14:textId="0180F83D" w:rsidR="277E52C9" w:rsidRPr="00C42BF6" w:rsidRDefault="2EBACE1F" w:rsidP="2EBACE1F">
            <w:pPr>
              <w:jc w:val="center"/>
              <w:rPr>
                <w:rFonts w:ascii="Arial" w:eastAsia="Arial" w:hAnsi="Arial" w:cs="Arial"/>
                <w:color w:val="000000"/>
              </w:rPr>
            </w:pPr>
            <w:r w:rsidRPr="00C42BF6">
              <w:rPr>
                <w:rFonts w:ascii="Arial" w:eastAsia="Arial" w:hAnsi="Arial" w:cs="Arial"/>
                <w:color w:val="000000"/>
              </w:rPr>
              <w:t>ko00480: Glutathione metabolism</w:t>
            </w:r>
            <w:r w:rsidR="00E501F6" w:rsidRPr="00C42BF6">
              <w:rPr>
                <w:rFonts w:ascii="Arial" w:eastAsia="Arial" w:hAnsi="Arial" w:cs="Arial"/>
                <w:color w:val="000000"/>
              </w:rPr>
              <w:fldChar w:fldCharType="begin"/>
            </w:r>
            <w:r w:rsidR="00F80CF1">
              <w:rPr>
                <w:rFonts w:ascii="Arial" w:eastAsia="Arial" w:hAnsi="Arial" w:cs="Arial"/>
                <w:color w:val="000000"/>
              </w:rPr>
              <w:instrText xml:space="preserve"> ADDIN ZOTERO_ITEM CSL_CITATION {"citationID":"6X1zPEIH","properties":{"formattedCitation":"\\super 183\\nosupersub{}","plainCitation":"183","noteIndex":0},"citationItems":[{"id":3381,"uris":["http://zotero.org/users/local/6BakpO76/items/ZAXUAW6Y"],"itemData":{"id":3381,"type":"article-journal","abstract":"SIGNIFICANCE: The multifaceted functions of reduced glutathione (gamma-glutamyl-cysteinyl-glycine; GSH) continue to fascinate plants and animal scientists, not least because of the dynamic relationships between GSH and reactive oxygen species (ROS) that underpin reduction/oxidation (redox) regulation and signalling. Here we consider the respective roles of ROS and GSH in the regulation of plant growth, with a particular focus on regulation of the plant cell cycle. Glutathione is discussed not only as a crucial low molecular weight redox buffer that shields nuclear processes against oxidative challenge but also a flexible regulator of genetic and epigenetic functions.\nRECENT ADVANCES: The intracellular compartmentalization of GSH during the cell cycle is remarkably consistent in plants and animals. Moreover, measurements of in vivo glutathione redox potentials reveal that the cellular environment is much more reducing than predicted from GSH/GSSG ratios measured in tissue extracts. The redox potential of the cytosol and nuclei of non-dividing plant cells is about -300 mV. This relatively low redox potential maintained even in cells experiencing oxidative stress by a number of mechanisms including vacuolar sequestration of GSSG. We propose that regulated ROS production linked to glutathione-mediated signalling events are the hallmark of viable cells within a changing and challenging environment.\nCRITICAL ISSUES: The concept that the cell cycle in animals is subject to redox controls is well established but little is known about how ROS and GSH regulate this process in plants. However, it is increasingly likely that redox controls exist in plants, although possibly through different pathways. Moreover, redox-regulated proteins that function in cell cycle checkpoints remain to be identified in plants. While GSH-responsive genes have now been identified, the mechanisms that mediate and regulate protein glutathionylation in plants remain poorly defined.\nFUTURE DIRECTIONS: The nuclear GSH pool provides an appropriate redox environment for essential nuclear functions. Future work will focus on how this essential thiol interacts with the nuclear thioredoxin system and nitric oxide to regulate genetic and epigenetic mechanisms. The characterization of redox-regulated cell cycle proteins in plants, and the elucidation of mechanisms that facilitate GSH accumulation in the nucleus are keep steps to unravelling the complexities of nuclear redox controls.","container-title":"Free Radical Biology &amp; Medicine","DOI":"10.1016/j.freeradbiomed.2015.09.023","ISSN":"1873-4596","journalAbbreviation":"Free Radic Biol Med","language":"eng","note":"PMID: 26546102","page":"1154-1164","source":"PubMed","title":"Glutathione--linking cell proliferation to oxidative stress","volume":"89","author":[{"family":"Diaz-Vivancos","given":"Pedro"},{"family":"Simone","given":"Ambra","non-dropping-particle":"de"},{"family":"Kiddle","given":"Guy"},{"family":"Foyer","given":"Christine H."}],"issued":{"date-parts":[["2015",12]]}}}],"schema":"https://github.com/citation-style-language/schema/raw/master/csl-citation.json"} </w:instrText>
            </w:r>
            <w:r w:rsidR="00E501F6" w:rsidRPr="00C42BF6">
              <w:rPr>
                <w:rFonts w:ascii="Arial" w:eastAsia="Arial" w:hAnsi="Arial" w:cs="Arial"/>
                <w:color w:val="000000"/>
              </w:rPr>
              <w:fldChar w:fldCharType="separate"/>
            </w:r>
            <w:r w:rsidR="00F80CF1" w:rsidRPr="00F80CF1">
              <w:rPr>
                <w:rFonts w:ascii="Arial" w:hAnsi="Arial" w:cs="Arial"/>
                <w:color w:val="000000"/>
                <w:vertAlign w:val="superscript"/>
              </w:rPr>
              <w:t>183</w:t>
            </w:r>
            <w:r w:rsidR="00E501F6" w:rsidRPr="00C42BF6">
              <w:rPr>
                <w:rFonts w:ascii="Arial" w:eastAsia="Arial" w:hAnsi="Arial" w:cs="Arial"/>
                <w:color w:val="000000"/>
              </w:rPr>
              <w:fldChar w:fldCharType="end"/>
            </w:r>
            <w:r w:rsidRPr="00C42BF6">
              <w:rPr>
                <w:rFonts w:ascii="Arial" w:eastAsia="Arial" w:hAnsi="Arial" w:cs="Arial"/>
                <w:color w:val="000000"/>
              </w:rPr>
              <w:t> </w:t>
            </w:r>
          </w:p>
        </w:tc>
      </w:tr>
      <w:tr w:rsidR="00580A30" w:rsidRPr="00C42BF6" w14:paraId="635BD366" w14:textId="77777777" w:rsidTr="1FC84CC2">
        <w:trPr>
          <w:trHeight w:val="765"/>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F2E1EF"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Nicotinate &amp; Nicotinamide Metabolism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D256E2" w14:textId="64FA2CE5" w:rsidR="277E52C9" w:rsidRPr="00C42BF6" w:rsidRDefault="2EBACE1F" w:rsidP="2EBACE1F">
            <w:pPr>
              <w:jc w:val="center"/>
              <w:rPr>
                <w:rFonts w:ascii="Arial" w:eastAsia="Arial" w:hAnsi="Arial" w:cs="Arial"/>
                <w:color w:val="000000"/>
              </w:rPr>
            </w:pPr>
            <w:r w:rsidRPr="00C42BF6">
              <w:rPr>
                <w:rFonts w:ascii="Arial" w:eastAsia="Arial" w:hAnsi="Arial" w:cs="Arial"/>
                <w:color w:val="000000"/>
              </w:rPr>
              <w:t>ko00760: Nicotinate and nicotinamide metabolism</w:t>
            </w:r>
            <w:r w:rsidR="00453496" w:rsidRPr="00C42BF6">
              <w:rPr>
                <w:rFonts w:ascii="Arial" w:eastAsia="Arial" w:hAnsi="Arial" w:cs="Arial"/>
                <w:color w:val="000000"/>
              </w:rPr>
              <w:fldChar w:fldCharType="begin"/>
            </w:r>
            <w:r w:rsidR="00F80CF1">
              <w:rPr>
                <w:rFonts w:ascii="Arial" w:eastAsia="Arial" w:hAnsi="Arial" w:cs="Arial"/>
                <w:color w:val="000000"/>
              </w:rPr>
              <w:instrText xml:space="preserve"> ADDIN ZOTERO_ITEM CSL_CITATION {"citationID":"baLsNEhy","properties":{"formattedCitation":"\\super 184,185\\nosupersub{}","plainCitation":"184,185","noteIndex":0},"citationItems":[{"id":3384,"uris":["http://zotero.org/users/local/6BakpO76/items/Y7Q7DXMK"],"itemData":{"id":3384,"type":"article-journal","abstract":"The interplay between microbiota and host metabolism plays an important role in health. Here, we examined the relationship between age, gut microbiome and host serum metabolites in male C57BL/6J mice. Fecal microbiome analysis of 3, 6, 18, and 28 months (M) old mice showed that the Firmicutes/Bacteroidetes ratio was highest in the 6M group; the decrease of Firmicutes in the older age groups suggests a reduced capacity of gut microflora to harvest energy from food. We found age-dependent increase in Proteobacteria, which may lead to altered mucus structure more susceptible to bacteria penetration and ultimately increased intestinal inflammation. Metabolomic profiling of polar serum metabolites at fed state in 3, 12, 18 and 28M mice revealed age-associated changes in metabolic cascades involved in tryptophan, purine, amino acids, and nicotinamide metabolism. Correlation analyses showed that nicotinamide decreased with age, while allantoin and guanosine, metabolites in purine metabolism, increased with age. Notably, tryptophan and its microbially derived compounds indole and indole-3-lactic acid significantly decreased with age, while kynurenine increased with age. Together, these results suggest a significant interplay between bacterial and host metabolism, and gut dysbiosis and altered microbial metabolism contribute to aging.","container-title":"Aging","DOI":"10.18632/aging.202525","ISSN":"1945-4589","issue":"5","journalAbbreviation":"Aging (Albany NY)","language":"eng","note":"PMID: 33612480\nPMCID: PMC7993679","page":"6330-6345","source":"PubMed","title":"Age-dependent remodeling of gut microbiome and host serum metabolome in mice","volume":"13","author":[{"family":"Wu","given":"Chia-Shan"},{"family":"Muthyala","given":"Sai Deepak Venkata"},{"family":"Klemashevich","given":"Cory"},{"family":"Ufondu","given":"Arinzechukwu Uchenna"},{"family":"Menon","given":"Rani"},{"family":"Chen","given":"Zheng"},{"family":"Devaraj","given":"Sridevi"},{"family":"Jayaraman","given":"Arul"},{"family":"Sun","given":"Yuxiang"}],"issued":{"date-parts":[["2021",2,17]]}}},{"id":3387,"uris":["http://zotero.org/users/local/6BakpO76/items/FINRJK3G"],"itemData":{"id":3387,"type":"article-journal","abstract":"Nicotinamide adenine dinucleotide (NAD) is an essential redox cofactor in mammals and microbes. Here we use isotope tracing to investigate the precursors supporting NAD synthesis in the gut microbiome of mice. We find that dietary NAD precursors are absorbed in the proximal part of the gastrointestinal tract and not available to microbes in the distal gut. Instead, circulating host nicotinamide enters the gut lumen and supports microbial NAD synthesis. The microbiome converts host-derived nicotinamide into nicotinic acid, which is used for NAD synthesis in host tissues and maintains circulating nicotinic acid levels even in the absence of dietary consumption. Moreover, the main route from oral nicotinamide riboside, a widely used nutraceutical, to host NAD is via conversion into nicotinic acid by the gut microbiome. Thus, we establish the capacity for circulating host micronutrients to feed the gut microbiome, and in turn be transformed in a manner that enhances host metabolic flexibility.","container-title":"Cell Metabolism","DOI":"10.1016/j.cmet.2022.11.004","ISSN":"1932-7420","issue":"12","journalAbbreviation":"Cell Metab","language":"eng","note":"PMID: 36476934\nPMCID: PMC9825113","page":"1947-1959.e5","source":"PubMed","title":"NAD precursors cycle between host tissues and the gut microbiome","volume":"34","author":[{"family":"Chellappa","given":"Karthikeyani"},{"family":"McReynolds","given":"Melanie R."},{"family":"Lu","given":"Wenyun"},{"family":"Zeng","given":"Xianfeng"},{"family":"Makarov","given":"Mikhail"},{"family":"Hayat","given":"Faisal"},{"family":"Mukherjee","given":"Sarmistha"},{"family":"Bhat","given":"Yashaswini R."},{"family":"Lingala","given":"Siddharth R."},{"family":"Shima","given":"Rafaella T."},{"family":"Descamps","given":"Hélène C."},{"family":"Cox","given":"Timothy"},{"family":"Ji","given":"Lixin"},{"family":"Jankowski","given":"Connor"},{"family":"Chu","given":"Qingwei"},{"family":"Davidson","given":"Shawn M."},{"family":"Thaiss","given":"Christoph A."},{"family":"Migaud","given":"Marie E."},{"family":"Rabinowitz","given":"Joshua D."},{"family":"Baur","given":"Joseph A."}],"issued":{"date-parts":[["2022",12,6]]}}}],"schema":"https://github.com/citation-style-language/schema/raw/master/csl-citation.json"} </w:instrText>
            </w:r>
            <w:r w:rsidR="00453496" w:rsidRPr="00C42BF6">
              <w:rPr>
                <w:rFonts w:ascii="Arial" w:eastAsia="Arial" w:hAnsi="Arial" w:cs="Arial"/>
                <w:color w:val="000000"/>
              </w:rPr>
              <w:fldChar w:fldCharType="separate"/>
            </w:r>
            <w:r w:rsidR="00F80CF1" w:rsidRPr="00F80CF1">
              <w:rPr>
                <w:rFonts w:ascii="Arial" w:hAnsi="Arial" w:cs="Arial"/>
                <w:color w:val="000000"/>
                <w:vertAlign w:val="superscript"/>
              </w:rPr>
              <w:t>184,185</w:t>
            </w:r>
            <w:r w:rsidR="00453496" w:rsidRPr="00C42BF6">
              <w:rPr>
                <w:rFonts w:ascii="Arial" w:eastAsia="Arial" w:hAnsi="Arial" w:cs="Arial"/>
                <w:color w:val="000000"/>
              </w:rPr>
              <w:fldChar w:fldCharType="end"/>
            </w:r>
          </w:p>
        </w:tc>
      </w:tr>
      <w:tr w:rsidR="00580A30" w:rsidRPr="00C42BF6" w14:paraId="3053E3D5" w14:textId="77777777" w:rsidTr="1FC84CC2">
        <w:trPr>
          <w:trHeight w:val="480"/>
        </w:trPr>
        <w:tc>
          <w:tcPr>
            <w:tcW w:w="17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C9CBD7" w14:textId="77777777" w:rsidR="277E52C9" w:rsidRPr="00C42BF6" w:rsidRDefault="277E52C9" w:rsidP="277E52C9">
            <w:pPr>
              <w:jc w:val="center"/>
              <w:rPr>
                <w:rFonts w:ascii="Arial" w:eastAsia="Arial" w:hAnsi="Arial" w:cs="Arial"/>
                <w:color w:val="000000"/>
              </w:rPr>
            </w:pPr>
            <w:r w:rsidRPr="00C42BF6">
              <w:rPr>
                <w:rFonts w:ascii="Arial" w:eastAsia="Arial" w:hAnsi="Arial" w:cs="Arial"/>
                <w:color w:val="000000"/>
              </w:rPr>
              <w:t>Sulfur Metabolism </w:t>
            </w:r>
          </w:p>
        </w:tc>
        <w:tc>
          <w:tcPr>
            <w:tcW w:w="7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9DE480" w14:textId="15304A02" w:rsidR="277E52C9" w:rsidRPr="00C42BF6" w:rsidRDefault="2EBACE1F" w:rsidP="2EBACE1F">
            <w:pPr>
              <w:jc w:val="center"/>
              <w:rPr>
                <w:rFonts w:ascii="Arial" w:eastAsia="Arial" w:hAnsi="Arial" w:cs="Arial"/>
                <w:color w:val="000000"/>
              </w:rPr>
            </w:pPr>
            <w:r w:rsidRPr="00C42BF6">
              <w:rPr>
                <w:rFonts w:ascii="Arial" w:eastAsia="Arial" w:hAnsi="Arial" w:cs="Arial"/>
                <w:color w:val="000000"/>
              </w:rPr>
              <w:t>ko00920: Sulfur metabolism</w:t>
            </w:r>
            <w:r w:rsidR="00FF3516" w:rsidRPr="00C42BF6">
              <w:rPr>
                <w:rFonts w:ascii="Arial" w:eastAsia="Arial" w:hAnsi="Arial" w:cs="Arial"/>
                <w:color w:val="000000"/>
              </w:rPr>
              <w:fldChar w:fldCharType="begin"/>
            </w:r>
            <w:r w:rsidR="00F80CF1">
              <w:rPr>
                <w:rFonts w:ascii="Arial" w:eastAsia="Arial" w:hAnsi="Arial" w:cs="Arial"/>
                <w:color w:val="000000"/>
              </w:rPr>
              <w:instrText xml:space="preserve"> ADDIN ZOTERO_ITEM CSL_CITATION {"citationID":"y6HPapjD","properties":{"formattedCitation":"\\super 186,187\\nosupersub{}","plainCitation":"186,187","noteIndex":0},"citationItems":[{"id":3013,"uris":["http://zotero.org/users/local/6BakpO76/items/5LD4EGRA"],"itemData":{"id":3013,"type":"article-journal","abstract":"BACKGROUND: Recent evidence implicates microbial sulfidogenesis as a potential trigger of colorectal cancer (CRC), highlighting the need for comprehensive knowledge of sulfur metabolism within the human gut. Microbial sulfidogenesis produces genotoxic hydrogen sulfide (H2S) in the human colon using inorganic (sulfate) and organic (taurine/cysteine/methionine) substrates; however, the majority of studies have focused on sulfate reduction using dissimilatory sulfite reductases (Dsr).\nRESULTS: Here, we show that genes for microbial sulfur metabolism are more abundant and diverse than previously observed and are statistically associated with CRC. Using ~ 17,000 bacterial genomes from publicly available stool metagenomes, we studied the diversity of sulfur metabolic genes in 667 participants across different health statuses: healthy, adenoma, and carcinoma. Sulfidogenic genes were harbored by 142 bacterial genera and both organic and inorganic sulfidogenic genes were associated with carcinoma. Significantly, the anaerobic sulfite reductase (asr) genes were twice as abundant as dsr, demonstrating that Asr is likely a more important contributor to sulfate reduction in the human gut than Dsr. We identified twelve potential pathways for reductive taurine metabolism and discovered novel genera harboring these pathways. Finally, the prevalence of metabolic genes for organic sulfur indicates that these understudied substrates may be the most abundant source of microbially derived H2S.\nCONCLUSIONS: Our findings significantly expand knowledge of microbial sulfur metabolism in the human gut. We show that genes for microbial sulfur metabolism in the human gut are more prevalent than previously known, irrespective of health status (i.e., in both healthy and diseased states). Our results significantly increase the diversity of pathways and bacteria that are associated with microbial sulfur metabolism in the human gut. Overall, our results have implications for understanding the role of the human gut microbiome and its potential contributions to the pathogenesis of CRC. Video abstract.","container-title":"Microbiome","DOI":"10.1186/s40168-022-01242-x","ISSN":"2049-2618","issue":"1","journalAbbreviation":"Microbiome","language":"eng","note":"PMID: 35440042\nPMCID: PMC9016944","page":"64","source":"PubMed","title":"Diversity and distribution of sulfur metabolic genes in the human gut microbiome and their association with colorectal cancer","volume":"10","author":[{"family":"Wolf","given":"Patricia G."},{"family":"Cowley","given":"Elise S."},{"family":"Breister","given":"Adam"},{"family":"Matatov","given":"Sarah"},{"family":"Lucio","given":"Luke"},{"family":"Polak","given":"Paige"},{"family":"Ridlon","given":"Jason M."},{"family":"Gaskins","given":"H. Rex"},{"family":"Anantharaman","given":"Karthik"}],"issued":{"date-parts":[["2022",4,19]]}}},{"id":3008,"uris":["http://zotero.org/users/local/6BakpO76/items/SMPBQ5Y7"],"itemData":{"id":3008,"type":"article-journal","abstract":"The sulfur metabolism pathway in plants produces a variety of compounds that are central to the acclimation response to oxidative stresses such as drought and high light. Primary sulfur assimilation provides the amino acid cysteine, which is utilized in protein synthesis and as a precursor for the cellular redox buffer glutathione. In contrast, the secondary sulfur metabolism pathway produces sulfated compounds such as glucosinolates and sulfated peptides, as well as a corresponding by-product 3'-phosphoadenosine 5'-phosphate (PAP). Emerging evidence over the past decade has shown that secondary sulfur metabolism also has a crucial engagement during oxidative stress. This occurs across various cellular, tissue, and organismal levels including chloroplast-to-nucleus retrograde signalling events mediated by PAP, modulation of hormonal signalling by sulfated compounds and PAP, control of physiological responses such as stomatal closure, and potential regulation of plant growth. In this review, we examine the contribution of the different components of plant secondary metabolism to oxidative stress homeostasis, and how this pathway is metabolically regulated. We further outline the key outstanding questions in the field that are necessary to understand how and why this 'specialized' metabolic pathway plays significant roles in plant oxidative stress tolerance.","container-title":"Journal of Experimental Botany","DOI":"10.1093/jxb/erz119","ISSN":"1460-2431","issue":"16","journalAbbreviation":"J Exp Bot","language":"eng","note":"PMID: 30868163","page":"4237-4250","source":"PubMed","title":"Secondary sulfur metabolism in cellular signalling and oxidative stress responses","volume":"70","author":[{"family":"Chan","given":"Kai Xun"},{"family":"Phua","given":"Su Yin"},{"family":"Van Breusegem","given":"Frank"}],"issued":{"date-parts":[["2019",8,19]]}}}],"schema":"https://github.com/citation-style-language/schema/raw/master/csl-citation.json"} </w:instrText>
            </w:r>
            <w:r w:rsidR="00FF3516" w:rsidRPr="00C42BF6">
              <w:rPr>
                <w:rFonts w:ascii="Arial" w:eastAsia="Arial" w:hAnsi="Arial" w:cs="Arial"/>
                <w:color w:val="000000"/>
              </w:rPr>
              <w:fldChar w:fldCharType="separate"/>
            </w:r>
            <w:r w:rsidR="00F80CF1" w:rsidRPr="00F80CF1">
              <w:rPr>
                <w:rFonts w:ascii="Arial" w:hAnsi="Arial" w:cs="Arial"/>
                <w:color w:val="000000"/>
                <w:vertAlign w:val="superscript"/>
              </w:rPr>
              <w:t>186,187</w:t>
            </w:r>
            <w:r w:rsidR="00FF3516" w:rsidRPr="00C42BF6">
              <w:rPr>
                <w:rFonts w:ascii="Arial" w:eastAsia="Arial" w:hAnsi="Arial" w:cs="Arial"/>
                <w:color w:val="000000"/>
              </w:rPr>
              <w:fldChar w:fldCharType="end"/>
            </w:r>
          </w:p>
        </w:tc>
      </w:tr>
      <w:tr w:rsidR="00580A30" w:rsidRPr="00C42BF6" w14:paraId="5CC3253F" w14:textId="77777777" w:rsidTr="1FC84CC2">
        <w:trPr>
          <w:trHeight w:val="1590"/>
        </w:trPr>
        <w:tc>
          <w:tcPr>
            <w:tcW w:w="933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583A59" w14:textId="77777777" w:rsidR="277E52C9" w:rsidRPr="00C42BF6" w:rsidRDefault="277E52C9" w:rsidP="277E52C9">
            <w:pPr>
              <w:jc w:val="both"/>
              <w:rPr>
                <w:rFonts w:ascii="Arial" w:eastAsia="Arial" w:hAnsi="Arial" w:cs="Arial"/>
                <w:color w:val="000000"/>
              </w:rPr>
            </w:pPr>
            <w:r w:rsidRPr="00C42BF6">
              <w:rPr>
                <w:rFonts w:ascii="Arial" w:eastAsia="Arial" w:hAnsi="Arial" w:cs="Arial"/>
                <w:color w:val="000000"/>
              </w:rPr>
              <w:t xml:space="preserve">We used the QIIME2 plugin </w:t>
            </w:r>
            <w:proofErr w:type="spellStart"/>
            <w:r w:rsidRPr="00C42BF6">
              <w:rPr>
                <w:rFonts w:ascii="Arial" w:eastAsia="Arial" w:hAnsi="Arial" w:cs="Arial"/>
                <w:color w:val="000000"/>
              </w:rPr>
              <w:t>Qurro</w:t>
            </w:r>
            <w:proofErr w:type="spellEnd"/>
            <w:r w:rsidRPr="00C42BF6">
              <w:rPr>
                <w:rFonts w:ascii="Arial" w:eastAsia="Arial" w:hAnsi="Arial" w:cs="Arial"/>
                <w:color w:val="000000"/>
              </w:rPr>
              <w:t xml:space="preserve"> to create visualizations of feature log-ratios in the context of feature rankings generated using the QIIME2 plugin Songbird. Bacterial taxa (families, genus and species) selected to represent each group needed to have been previously shown to be associated with their assigned group and had to be present in </w:t>
            </w:r>
            <w:proofErr w:type="gramStart"/>
            <w:r w:rsidRPr="00C42BF6">
              <w:rPr>
                <w:rFonts w:ascii="Arial" w:eastAsia="Arial" w:hAnsi="Arial" w:cs="Arial"/>
                <w:color w:val="000000"/>
              </w:rPr>
              <w:t>the majority of</w:t>
            </w:r>
            <w:proofErr w:type="gramEnd"/>
            <w:r w:rsidRPr="00C42BF6">
              <w:rPr>
                <w:rFonts w:ascii="Arial" w:eastAsia="Arial" w:hAnsi="Arial" w:cs="Arial"/>
                <w:color w:val="000000"/>
              </w:rPr>
              <w:t xml:space="preserve"> samples. KEGG orthologs were also analyzed, and we only grouped </w:t>
            </w:r>
            <w:r w:rsidR="001E05F2" w:rsidRPr="00C42BF6">
              <w:rPr>
                <w:rFonts w:ascii="Arial" w:eastAsia="Arial" w:hAnsi="Arial" w:cs="Arial"/>
                <w:color w:val="000000"/>
              </w:rPr>
              <w:t>short-chain fatty acid (</w:t>
            </w:r>
            <w:r w:rsidRPr="00C42BF6">
              <w:rPr>
                <w:rFonts w:ascii="Arial" w:eastAsia="Arial" w:hAnsi="Arial" w:cs="Arial"/>
                <w:color w:val="000000"/>
              </w:rPr>
              <w:t>SCFA</w:t>
            </w:r>
            <w:r w:rsidR="001E05F2" w:rsidRPr="00C42BF6">
              <w:rPr>
                <w:rFonts w:ascii="Arial" w:eastAsia="Arial" w:hAnsi="Arial" w:cs="Arial"/>
                <w:color w:val="000000"/>
              </w:rPr>
              <w:t>)</w:t>
            </w:r>
            <w:r w:rsidRPr="00C42BF6">
              <w:rPr>
                <w:rFonts w:ascii="Arial" w:eastAsia="Arial" w:hAnsi="Arial" w:cs="Arial"/>
                <w:color w:val="000000"/>
              </w:rPr>
              <w:t xml:space="preserve"> pathways based on their ability to affect </w:t>
            </w:r>
            <w:r w:rsidR="00DB5CC9" w:rsidRPr="00C42BF6">
              <w:rPr>
                <w:rFonts w:ascii="Arial" w:eastAsia="Arial" w:hAnsi="Arial" w:cs="Arial"/>
                <w:color w:val="000000"/>
              </w:rPr>
              <w:t>SCFA</w:t>
            </w:r>
            <w:r w:rsidRPr="00C42BF6">
              <w:rPr>
                <w:rFonts w:ascii="Arial" w:eastAsia="Arial" w:hAnsi="Arial" w:cs="Arial"/>
                <w:color w:val="000000"/>
              </w:rPr>
              <w:t xml:space="preserve"> metabolism. Other pathways were individually analyzed.</w:t>
            </w:r>
            <w:r w:rsidR="00DB5CC9" w:rsidRPr="00C42BF6">
              <w:rPr>
                <w:rFonts w:ascii="Arial" w:eastAsia="Arial" w:hAnsi="Arial" w:cs="Arial"/>
                <w:color w:val="000000"/>
              </w:rPr>
              <w:t xml:space="preserve"> Abbreviations: Lipopolysaccharide, LPS. </w:t>
            </w:r>
            <w:r w:rsidRPr="00C42BF6">
              <w:rPr>
                <w:rFonts w:ascii="Arial" w:eastAsia="Arial" w:hAnsi="Arial" w:cs="Arial"/>
                <w:color w:val="000000"/>
              </w:rPr>
              <w:t> </w:t>
            </w:r>
          </w:p>
        </w:tc>
      </w:tr>
    </w:tbl>
    <w:p w14:paraId="4578D593" w14:textId="77777777" w:rsidR="2EBACE1F" w:rsidRPr="00C42BF6" w:rsidRDefault="2EBACE1F">
      <w:pPr>
        <w:rPr>
          <w:rFonts w:ascii="Arial" w:hAnsi="Arial" w:cs="Arial"/>
          <w:color w:val="000000"/>
        </w:rPr>
      </w:pPr>
      <w:r w:rsidRPr="00C42BF6">
        <w:rPr>
          <w:rFonts w:ascii="Arial" w:hAnsi="Arial" w:cs="Arial"/>
          <w:color w:val="000000"/>
        </w:rPr>
        <w:br w:type="page"/>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95"/>
        <w:gridCol w:w="763"/>
        <w:gridCol w:w="763"/>
        <w:gridCol w:w="763"/>
        <w:gridCol w:w="763"/>
        <w:gridCol w:w="763"/>
        <w:gridCol w:w="763"/>
        <w:gridCol w:w="49"/>
        <w:gridCol w:w="1089"/>
        <w:gridCol w:w="1008"/>
        <w:gridCol w:w="1152"/>
      </w:tblGrid>
      <w:tr w:rsidR="00580A30" w:rsidRPr="00C42BF6" w14:paraId="52E2F831" w14:textId="77777777" w:rsidTr="001D72E1">
        <w:trPr>
          <w:trHeight w:val="450"/>
        </w:trPr>
        <w:tc>
          <w:tcPr>
            <w:tcW w:w="9271" w:type="dxa"/>
            <w:gridSpan w:val="11"/>
            <w:tcBorders>
              <w:top w:val="single" w:sz="6" w:space="0" w:color="222529"/>
              <w:left w:val="single" w:sz="6" w:space="0" w:color="222529"/>
              <w:bottom w:val="single" w:sz="6" w:space="0" w:color="222529"/>
              <w:right w:val="single" w:sz="6" w:space="0" w:color="222529"/>
            </w:tcBorders>
            <w:tcMar>
              <w:top w:w="135" w:type="dxa"/>
              <w:left w:w="135" w:type="dxa"/>
              <w:bottom w:w="135" w:type="dxa"/>
              <w:right w:w="135" w:type="dxa"/>
            </w:tcMar>
          </w:tcPr>
          <w:p w14:paraId="47A653A0" w14:textId="77777777" w:rsidR="277E52C9" w:rsidRPr="00C42BF6" w:rsidRDefault="277E52C9" w:rsidP="00DC14E5">
            <w:pPr>
              <w:spacing w:after="0"/>
              <w:rPr>
                <w:rFonts w:ascii="Arial" w:eastAsia="Arial" w:hAnsi="Arial" w:cs="Arial"/>
                <w:color w:val="000000"/>
                <w:sz w:val="24"/>
                <w:szCs w:val="24"/>
              </w:rPr>
            </w:pPr>
            <w:r w:rsidRPr="00C42BF6">
              <w:rPr>
                <w:rFonts w:ascii="Arial" w:eastAsia="Arial" w:hAnsi="Arial" w:cs="Arial"/>
                <w:b/>
                <w:bCs/>
                <w:color w:val="000000"/>
                <w:sz w:val="24"/>
                <w:szCs w:val="24"/>
              </w:rPr>
              <w:lastRenderedPageBreak/>
              <w:t>Supplementary Table S3</w:t>
            </w:r>
            <w:r w:rsidR="00587CD4" w:rsidRPr="00C42BF6">
              <w:rPr>
                <w:rFonts w:ascii="Arial" w:eastAsia="Arial" w:hAnsi="Arial" w:cs="Arial"/>
                <w:b/>
                <w:bCs/>
                <w:color w:val="000000"/>
                <w:sz w:val="24"/>
                <w:szCs w:val="24"/>
              </w:rPr>
              <w:t>:</w:t>
            </w:r>
            <w:r w:rsidRPr="00C42BF6">
              <w:rPr>
                <w:rFonts w:ascii="Arial" w:eastAsia="Arial" w:hAnsi="Arial" w:cs="Arial"/>
                <w:b/>
                <w:bCs/>
                <w:color w:val="000000"/>
                <w:sz w:val="24"/>
                <w:szCs w:val="24"/>
              </w:rPr>
              <w:t xml:space="preserve"> Food and water intake, body and tissue masses, and artery characteristics</w:t>
            </w:r>
          </w:p>
        </w:tc>
      </w:tr>
      <w:tr w:rsidR="00580A30" w:rsidRPr="00C42BF6" w14:paraId="2BBD72B3" w14:textId="77777777" w:rsidTr="001D72E1">
        <w:trPr>
          <w:trHeight w:val="31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tcPr>
          <w:p w14:paraId="68584C2F" w14:textId="77777777" w:rsidR="277E52C9" w:rsidRPr="00C42BF6" w:rsidRDefault="277E52C9" w:rsidP="277E52C9">
            <w:pPr>
              <w:jc w:val="center"/>
              <w:rPr>
                <w:rFonts w:ascii="Arial" w:eastAsia="Arial" w:hAnsi="Arial" w:cs="Arial"/>
                <w:color w:val="000000"/>
              </w:rPr>
            </w:pPr>
            <w:r w:rsidRPr="00C42BF6">
              <w:rPr>
                <w:rFonts w:ascii="Arial" w:eastAsia="Arial" w:hAnsi="Arial" w:cs="Arial"/>
                <w:b/>
                <w:bCs/>
                <w:color w:val="000000"/>
              </w:rPr>
              <w:t> </w:t>
            </w:r>
          </w:p>
        </w:tc>
        <w:tc>
          <w:tcPr>
            <w:tcW w:w="4627" w:type="dxa"/>
            <w:gridSpan w:val="7"/>
            <w:tcBorders>
              <w:top w:val="single" w:sz="6" w:space="0" w:color="222529"/>
              <w:left w:val="single" w:sz="6" w:space="0" w:color="222529"/>
              <w:bottom w:val="single" w:sz="6" w:space="0" w:color="222529"/>
              <w:right w:val="single" w:sz="6" w:space="0" w:color="222529"/>
            </w:tcBorders>
            <w:tcMar>
              <w:left w:w="90" w:type="dxa"/>
              <w:right w:w="90" w:type="dxa"/>
            </w:tcMar>
          </w:tcPr>
          <w:p w14:paraId="1E6FA5DB" w14:textId="77777777" w:rsidR="277E52C9" w:rsidRPr="00C42BF6" w:rsidRDefault="277E52C9" w:rsidP="277E52C9">
            <w:pPr>
              <w:jc w:val="center"/>
              <w:rPr>
                <w:rFonts w:ascii="Arial" w:eastAsia="Arial" w:hAnsi="Arial" w:cs="Arial"/>
                <w:color w:val="000000"/>
              </w:rPr>
            </w:pPr>
            <w:r w:rsidRPr="00C42BF6">
              <w:rPr>
                <w:rFonts w:ascii="Arial" w:eastAsia="Arial" w:hAnsi="Arial" w:cs="Arial"/>
                <w:b/>
                <w:bCs/>
                <w:color w:val="000000"/>
              </w:rPr>
              <w:t>Group</w:t>
            </w:r>
          </w:p>
        </w:tc>
        <w:tc>
          <w:tcPr>
            <w:tcW w:w="3249" w:type="dxa"/>
            <w:gridSpan w:val="3"/>
            <w:tcBorders>
              <w:top w:val="single" w:sz="6" w:space="0" w:color="222529"/>
              <w:left w:val="single" w:sz="6" w:space="0" w:color="222529"/>
              <w:bottom w:val="single" w:sz="6" w:space="0" w:color="222529"/>
              <w:right w:val="single" w:sz="6" w:space="0" w:color="222529"/>
            </w:tcBorders>
            <w:tcMar>
              <w:left w:w="90" w:type="dxa"/>
              <w:right w:w="90" w:type="dxa"/>
            </w:tcMar>
          </w:tcPr>
          <w:p w14:paraId="3C3A82EC" w14:textId="77777777" w:rsidR="277E52C9" w:rsidRPr="00C42BF6" w:rsidRDefault="277E52C9" w:rsidP="277E52C9">
            <w:pPr>
              <w:jc w:val="center"/>
              <w:rPr>
                <w:rFonts w:ascii="Arial" w:eastAsia="Arial" w:hAnsi="Arial" w:cs="Arial"/>
                <w:color w:val="000000"/>
              </w:rPr>
            </w:pPr>
            <w:r w:rsidRPr="00C42BF6">
              <w:rPr>
                <w:rFonts w:ascii="Arial" w:eastAsia="Arial" w:hAnsi="Arial" w:cs="Arial"/>
                <w:b/>
                <w:bCs/>
                <w:color w:val="000000"/>
              </w:rPr>
              <w:t xml:space="preserve">ANOVA </w:t>
            </w:r>
            <w:r w:rsidRPr="00C42BF6">
              <w:rPr>
                <w:rFonts w:ascii="Arial" w:eastAsia="Arial" w:hAnsi="Arial" w:cs="Arial"/>
                <w:b/>
                <w:bCs/>
                <w:i/>
                <w:iCs/>
                <w:color w:val="000000"/>
              </w:rPr>
              <w:t>P</w:t>
            </w:r>
            <w:r w:rsidRPr="00C42BF6">
              <w:rPr>
                <w:rFonts w:ascii="Arial" w:eastAsia="Arial" w:hAnsi="Arial" w:cs="Arial"/>
                <w:b/>
                <w:bCs/>
                <w:color w:val="000000"/>
              </w:rPr>
              <w:t xml:space="preserve"> Values</w:t>
            </w:r>
          </w:p>
        </w:tc>
      </w:tr>
      <w:tr w:rsidR="00580A30" w:rsidRPr="00C42BF6" w14:paraId="05655A3B" w14:textId="77777777" w:rsidTr="001D72E1">
        <w:trPr>
          <w:trHeight w:val="31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DE6042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 </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C3974A7"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b/>
                <w:bCs/>
                <w:color w:val="000000"/>
                <w:sz w:val="20"/>
                <w:szCs w:val="20"/>
              </w:rPr>
              <w:t>YC</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33CFE8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b/>
                <w:bCs/>
                <w:color w:val="000000"/>
                <w:sz w:val="20"/>
                <w:szCs w:val="20"/>
              </w:rPr>
              <w:t>YA</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5FCCB3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b/>
                <w:bCs/>
                <w:color w:val="000000"/>
                <w:sz w:val="20"/>
                <w:szCs w:val="20"/>
              </w:rPr>
              <w:t>YF</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E0DF9B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b/>
                <w:bCs/>
                <w:color w:val="000000"/>
                <w:sz w:val="20"/>
                <w:szCs w:val="20"/>
              </w:rPr>
              <w:t>OC</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930D1E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b/>
                <w:bCs/>
                <w:color w:val="000000"/>
                <w:sz w:val="20"/>
                <w:szCs w:val="20"/>
              </w:rPr>
              <w:t>OA</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0F1FD5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b/>
                <w:bCs/>
                <w:color w:val="000000"/>
                <w:sz w:val="20"/>
                <w:szCs w:val="20"/>
              </w:rPr>
              <w:t>OF</w:t>
            </w:r>
          </w:p>
        </w:tc>
        <w:tc>
          <w:tcPr>
            <w:tcW w:w="1138" w:type="dxa"/>
            <w:gridSpan w:val="2"/>
            <w:tcBorders>
              <w:top w:val="single" w:sz="6" w:space="0" w:color="222529"/>
              <w:left w:val="single" w:sz="6" w:space="0" w:color="222529"/>
              <w:bottom w:val="single" w:sz="6" w:space="0" w:color="222529"/>
              <w:right w:val="single" w:sz="6" w:space="0" w:color="222529"/>
            </w:tcBorders>
            <w:vAlign w:val="bottom"/>
          </w:tcPr>
          <w:p w14:paraId="7E8FB0D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b/>
                <w:bCs/>
                <w:color w:val="000000"/>
                <w:sz w:val="20"/>
                <w:szCs w:val="20"/>
              </w:rPr>
              <w:t>Interaction</w:t>
            </w:r>
          </w:p>
        </w:tc>
        <w:tc>
          <w:tcPr>
            <w:tcW w:w="1008" w:type="dxa"/>
            <w:tcBorders>
              <w:top w:val="single" w:sz="6" w:space="0" w:color="222529"/>
              <w:left w:val="single" w:sz="6" w:space="0" w:color="222529"/>
              <w:bottom w:val="single" w:sz="6" w:space="0" w:color="222529"/>
              <w:right w:val="single" w:sz="6" w:space="0" w:color="222529"/>
            </w:tcBorders>
            <w:vAlign w:val="bottom"/>
          </w:tcPr>
          <w:p w14:paraId="69800C9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b/>
                <w:bCs/>
                <w:color w:val="000000"/>
                <w:sz w:val="20"/>
                <w:szCs w:val="20"/>
              </w:rPr>
              <w:t>Age</w:t>
            </w:r>
          </w:p>
        </w:tc>
        <w:tc>
          <w:tcPr>
            <w:tcW w:w="1152" w:type="dxa"/>
            <w:tcBorders>
              <w:top w:val="single" w:sz="6" w:space="0" w:color="222529"/>
              <w:left w:val="single" w:sz="6" w:space="0" w:color="222529"/>
              <w:bottom w:val="single" w:sz="6" w:space="0" w:color="222529"/>
              <w:right w:val="single" w:sz="6" w:space="0" w:color="222529"/>
            </w:tcBorders>
            <w:vAlign w:val="bottom"/>
          </w:tcPr>
          <w:p w14:paraId="706FA04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b/>
                <w:bCs/>
                <w:color w:val="000000"/>
                <w:sz w:val="20"/>
                <w:szCs w:val="20"/>
              </w:rPr>
              <w:t>Treatment</w:t>
            </w:r>
          </w:p>
        </w:tc>
      </w:tr>
      <w:tr w:rsidR="00580A30" w:rsidRPr="00C42BF6" w14:paraId="29F84555" w14:textId="77777777" w:rsidTr="001D72E1">
        <w:trPr>
          <w:trHeight w:val="300"/>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1C433C03"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i/>
                <w:iCs/>
                <w:color w:val="000000"/>
                <w:sz w:val="20"/>
                <w:szCs w:val="20"/>
              </w:rPr>
              <w:t>n</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A6209D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E216E2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38AB1B7"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AD0AF7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2E951D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26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BF5492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28</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C03F872"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 </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F5EE563"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 </w:t>
            </w:r>
          </w:p>
        </w:tc>
        <w:tc>
          <w:tcPr>
            <w:tcW w:w="1152" w:type="dxa"/>
            <w:tcBorders>
              <w:top w:val="single" w:sz="6" w:space="0" w:color="222529"/>
              <w:left w:val="single" w:sz="6" w:space="0" w:color="222529"/>
              <w:bottom w:val="single" w:sz="6" w:space="0" w:color="222529"/>
              <w:right w:val="single" w:sz="6" w:space="0" w:color="222529"/>
            </w:tcBorders>
            <w:vAlign w:val="bottom"/>
          </w:tcPr>
          <w:p w14:paraId="6692D4BD"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 </w:t>
            </w:r>
          </w:p>
        </w:tc>
      </w:tr>
      <w:tr w:rsidR="00580A30" w:rsidRPr="00C42BF6" w14:paraId="20A67DE7"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34888C38"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Water intake (ml/day)</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5781EFA"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3.5 ± 0.3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C49467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3.1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422147E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3.3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1D1433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3.3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40D437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3.4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BE210F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3.7 ± 0.1</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AB07F7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0.260</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016952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0.278</w:t>
            </w:r>
          </w:p>
        </w:tc>
        <w:tc>
          <w:tcPr>
            <w:tcW w:w="1152" w:type="dxa"/>
            <w:tcBorders>
              <w:top w:val="single" w:sz="6" w:space="0" w:color="222529"/>
              <w:left w:val="single" w:sz="6" w:space="0" w:color="222529"/>
              <w:bottom w:val="single" w:sz="6" w:space="0" w:color="222529"/>
              <w:right w:val="single" w:sz="6" w:space="0" w:color="222529"/>
            </w:tcBorders>
            <w:vAlign w:val="bottom"/>
          </w:tcPr>
          <w:p w14:paraId="7D64D75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0.595</w:t>
            </w:r>
          </w:p>
        </w:tc>
      </w:tr>
      <w:tr w:rsidR="00580A30" w:rsidRPr="00C42BF6" w14:paraId="39D679A2"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2E38BEE4" w14:textId="77777777" w:rsidR="277E52C9" w:rsidRPr="00C42BF6" w:rsidRDefault="005415B1" w:rsidP="277E52C9">
            <w:pPr>
              <w:rPr>
                <w:rFonts w:ascii="Arial" w:eastAsia="Arial" w:hAnsi="Arial" w:cs="Arial"/>
                <w:color w:val="000000"/>
                <w:sz w:val="20"/>
                <w:szCs w:val="20"/>
              </w:rPr>
            </w:pPr>
            <w:r w:rsidRPr="00C42BF6">
              <w:rPr>
                <w:rFonts w:ascii="Arial" w:eastAsia="Arial" w:hAnsi="Arial" w:cs="Arial"/>
                <w:color w:val="000000"/>
                <w:sz w:val="20"/>
                <w:szCs w:val="20"/>
              </w:rPr>
              <w:t xml:space="preserve">Energy </w:t>
            </w:r>
            <w:r w:rsidR="277E52C9" w:rsidRPr="00C42BF6">
              <w:rPr>
                <w:rFonts w:ascii="Arial" w:eastAsia="Arial" w:hAnsi="Arial" w:cs="Arial"/>
                <w:color w:val="000000"/>
                <w:sz w:val="20"/>
                <w:szCs w:val="20"/>
              </w:rPr>
              <w:t>intake (kcal/day)</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1FFFE9A"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*12.1 ± 0.5</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4D7489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*11.5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20993B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*11.1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475984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17.0 ± 1.1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E605EE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16.0 ± 0.8</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225556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 13.6 ± 0.6</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D492A14"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0.356</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AE011D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21183C8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0.047</w:t>
            </w:r>
          </w:p>
        </w:tc>
      </w:tr>
      <w:tr w:rsidR="00580A30" w:rsidRPr="00C42BF6" w14:paraId="4C14558A"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740501FB"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Food intake (g/day)</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F29FAF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*4.0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88E78A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*3.8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CB86AA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3.8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9E142E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5.7 ± 0.4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41D1039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5.3 ± 0.3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A82B57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4.7 ± 0.2</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379076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0.387</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51EAEF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652B602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0.141</w:t>
            </w:r>
          </w:p>
        </w:tc>
      </w:tr>
      <w:tr w:rsidR="00580A30" w:rsidRPr="00C42BF6" w14:paraId="5C5A8B57" w14:textId="77777777" w:rsidTr="001D72E1">
        <w:trPr>
          <w:trHeight w:val="61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432270C4"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Frailty index</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B4CDCA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*0.083 ± 0.011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EBAD20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*0.078 ± 0.006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017658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*0.073 ± 0.010</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C9FAF5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0.358 ± 0.010</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45172DC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0.324 ± 0.013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544A8C7"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0.330 ± 0.019</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60BA09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0.743</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71C0FC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2A96201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0.507</w:t>
            </w:r>
          </w:p>
        </w:tc>
      </w:tr>
      <w:tr w:rsidR="00580A30" w:rsidRPr="00C42BF6" w14:paraId="04C1421E"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18A07927"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Body mass at euthanasia (g)</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F5479E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29.8 ± 1.1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46D5574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30.9 ± 0.8</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181254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29.9 + 0.7</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27F749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27.2 ± 0.6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EA8013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28.5 ± 0.6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E42BFA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27.8 ± 0.6</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1BEE6B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0.956</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3A70402"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3951734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0.313</w:t>
            </w:r>
          </w:p>
        </w:tc>
      </w:tr>
      <w:tr w:rsidR="00580A30" w:rsidRPr="00C42BF6" w14:paraId="68B1FD15" w14:textId="77777777" w:rsidTr="001D72E1">
        <w:trPr>
          <w:trHeight w:val="34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05123705"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Tibia length (mm)</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6D55E2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18.9 ± 0.3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28B00B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19.6 ± 0.4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9A7964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19.3 ± 0.3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D3C9F77"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19.2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9BEA69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19.3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4209F38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19.5 ± 0.2</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2D15C5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0.430</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4D1241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0.717</w:t>
            </w:r>
          </w:p>
        </w:tc>
        <w:tc>
          <w:tcPr>
            <w:tcW w:w="1152" w:type="dxa"/>
            <w:tcBorders>
              <w:top w:val="single" w:sz="6" w:space="0" w:color="222529"/>
              <w:left w:val="single" w:sz="6" w:space="0" w:color="222529"/>
              <w:bottom w:val="single" w:sz="6" w:space="0" w:color="222529"/>
              <w:right w:val="single" w:sz="6" w:space="0" w:color="222529"/>
            </w:tcBorders>
            <w:vAlign w:val="bottom"/>
          </w:tcPr>
          <w:p w14:paraId="66626B0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0.166</w:t>
            </w:r>
          </w:p>
        </w:tc>
      </w:tr>
      <w:tr w:rsidR="00580A30" w:rsidRPr="00C42BF6" w14:paraId="30AF99FB" w14:textId="77777777" w:rsidTr="001D72E1">
        <w:trPr>
          <w:trHeight w:val="360"/>
        </w:trPr>
        <w:tc>
          <w:tcPr>
            <w:tcW w:w="9271" w:type="dxa"/>
            <w:gridSpan w:val="11"/>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0F46F848"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i/>
                <w:iCs/>
                <w:color w:val="000000"/>
                <w:sz w:val="20"/>
                <w:szCs w:val="20"/>
              </w:rPr>
              <w:t>Mass of key organs</w:t>
            </w:r>
          </w:p>
        </w:tc>
      </w:tr>
      <w:tr w:rsidR="00580A30" w:rsidRPr="00C42BF6" w14:paraId="4E92A003"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5BB2F205"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Heart (mg)</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AFBA0B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*142 ± 5</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251E387"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*138 ± 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A927182"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*141 ± 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F195C4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178 ± 5</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AF6A1C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 195 ± 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2AA3FA4"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 176 ± 4</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8584E5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0.092</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EC16E2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7DAC1AF2"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0.046</w:t>
            </w:r>
          </w:p>
        </w:tc>
      </w:tr>
      <w:tr w:rsidR="00580A30" w:rsidRPr="00C42BF6" w14:paraId="245B16A2"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6A1174B8"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Heart (g) / tibia length</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AB7AAA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*7.3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31BCE5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*7.2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4CC8E15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*7.3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1797D6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9.3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CCBC39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10.1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01C1B8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9.1 ± 0.2</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159CEF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0.118</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D64711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4152E65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0.208</w:t>
            </w:r>
          </w:p>
        </w:tc>
      </w:tr>
      <w:tr w:rsidR="00580A30" w:rsidRPr="00C42BF6" w14:paraId="7DEF69AA"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558010D4"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Left ventricle (mg)</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D1275E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*85 ± 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841CD1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*93 ± 8</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4F65278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*80 ± 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6AAF0E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106 ± 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6EA012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116 ± 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A3BFB0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104 ± 3</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A1A3A0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0.982</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B30C30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58B6F55A"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0.030</w:t>
            </w:r>
          </w:p>
        </w:tc>
      </w:tr>
      <w:tr w:rsidR="00580A30" w:rsidRPr="00C42BF6" w14:paraId="3C2F844A"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64B59525"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Left ventricle (g) / tibia length</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52785F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*4.4 ± 0.3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84BCA5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*4.9 ± 0.3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E9E7BD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*4.2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101DA4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5.6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F1F69D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6.0 ± 0.2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32D83E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5.3 ± 0.2</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42AF4F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0.796</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F036CD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61740D4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0.022</w:t>
            </w:r>
          </w:p>
        </w:tc>
      </w:tr>
      <w:tr w:rsidR="00580A30" w:rsidRPr="00C42BF6" w14:paraId="265897E7"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05F2D6A4"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Liver (g)</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020F73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1.5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BB7F3B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1.5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B0C5517"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1.5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3294F5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1.3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2D66DF1"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1.5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7447124"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1.4 ± 0.1</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7B573E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0.602</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72D59F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0.183</w:t>
            </w:r>
          </w:p>
        </w:tc>
        <w:tc>
          <w:tcPr>
            <w:tcW w:w="1152" w:type="dxa"/>
            <w:tcBorders>
              <w:top w:val="single" w:sz="6" w:space="0" w:color="222529"/>
              <w:left w:val="single" w:sz="6" w:space="0" w:color="222529"/>
              <w:bottom w:val="single" w:sz="6" w:space="0" w:color="222529"/>
              <w:right w:val="single" w:sz="6" w:space="0" w:color="222529"/>
            </w:tcBorders>
            <w:vAlign w:val="bottom"/>
          </w:tcPr>
          <w:p w14:paraId="11E2014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0.700</w:t>
            </w:r>
          </w:p>
        </w:tc>
      </w:tr>
      <w:tr w:rsidR="00580A30" w:rsidRPr="00C42BF6" w14:paraId="6E4240F7"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2FC843D9"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Kidneys (mg)</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0DFA7E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383 ± 10</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F3870F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397 ± 10</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352110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360 ± 9</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E6482A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410 ± 11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0F5083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426 ± 13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349757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405 ± 8</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42BE1F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0.173</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289BAF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0.087</w:t>
            </w:r>
          </w:p>
        </w:tc>
        <w:tc>
          <w:tcPr>
            <w:tcW w:w="1152" w:type="dxa"/>
            <w:tcBorders>
              <w:top w:val="single" w:sz="6" w:space="0" w:color="222529"/>
              <w:left w:val="single" w:sz="6" w:space="0" w:color="222529"/>
              <w:bottom w:val="single" w:sz="6" w:space="0" w:color="222529"/>
              <w:right w:val="single" w:sz="6" w:space="0" w:color="222529"/>
            </w:tcBorders>
            <w:vAlign w:val="bottom"/>
          </w:tcPr>
          <w:p w14:paraId="48D6A9F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0.004</w:t>
            </w:r>
          </w:p>
        </w:tc>
      </w:tr>
      <w:tr w:rsidR="00580A30" w:rsidRPr="00C42BF6" w14:paraId="5DD640B2"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7EC32954"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Visceral fat (g)</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015876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*0.81 ± 0.1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4F87F6A"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*0.89 ± 0.07</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C3CEF27"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*0.88 ± 0.06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48AFAFD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0.24 ± 0.03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6FAA58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0.26 ± 0.03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8ABEEC7"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0.27 ± 0.03</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6F4028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0.835</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A113A9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4201E5B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0.535</w:t>
            </w:r>
          </w:p>
        </w:tc>
      </w:tr>
      <w:tr w:rsidR="00580A30" w:rsidRPr="00C42BF6" w14:paraId="14A49C14" w14:textId="77777777" w:rsidTr="001D72E1">
        <w:trPr>
          <w:trHeight w:val="28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7F7CD4BC"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lastRenderedPageBreak/>
              <w:t>Spleen (mg)</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2FA3BF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67 ± 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4DB3C64"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66 ± 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9A86AB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67 ± 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D12FCFE"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72 ± 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C80888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82 ± 5</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4A03287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70 ± 4</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634539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0.793</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078ADF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0.293</w:t>
            </w:r>
          </w:p>
        </w:tc>
        <w:tc>
          <w:tcPr>
            <w:tcW w:w="1152" w:type="dxa"/>
            <w:tcBorders>
              <w:top w:val="single" w:sz="6" w:space="0" w:color="222529"/>
              <w:left w:val="single" w:sz="6" w:space="0" w:color="222529"/>
              <w:bottom w:val="single" w:sz="6" w:space="0" w:color="222529"/>
              <w:right w:val="single" w:sz="6" w:space="0" w:color="222529"/>
            </w:tcBorders>
            <w:vAlign w:val="bottom"/>
          </w:tcPr>
          <w:p w14:paraId="40B5AC6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0.821</w:t>
            </w:r>
          </w:p>
        </w:tc>
      </w:tr>
      <w:tr w:rsidR="00580A30" w:rsidRPr="00C42BF6" w14:paraId="67DE0C39" w14:textId="77777777" w:rsidTr="001D72E1">
        <w:trPr>
          <w:trHeight w:val="360"/>
        </w:trPr>
        <w:tc>
          <w:tcPr>
            <w:tcW w:w="9271" w:type="dxa"/>
            <w:gridSpan w:val="11"/>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0A0473E0"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i/>
                <w:iCs/>
                <w:color w:val="000000"/>
                <w:sz w:val="20"/>
                <w:szCs w:val="20"/>
              </w:rPr>
              <w:t>Artery characteristics (µm) </w:t>
            </w:r>
          </w:p>
        </w:tc>
      </w:tr>
      <w:tr w:rsidR="00580A30" w:rsidRPr="00C42BF6" w14:paraId="450EEAE1" w14:textId="77777777" w:rsidTr="001D72E1">
        <w:trPr>
          <w:trHeight w:val="405"/>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4C87DB38"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Carotid diameter (resting)</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2F1DE7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*413 ± 22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3F157D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433 ± 16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CC4E68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423 ± 15</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8CC545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481 ± 10</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1CD115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479 ± 9</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31DCCE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467 ± 8</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94AA58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0.605</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FBCA380"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62D94A94"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0.696</w:t>
            </w:r>
          </w:p>
        </w:tc>
      </w:tr>
      <w:tr w:rsidR="00580A30" w:rsidRPr="00C42BF6" w14:paraId="4A42510E" w14:textId="77777777" w:rsidTr="0023132C">
        <w:trPr>
          <w:trHeight w:val="360"/>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68558EC8"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Carotid diameter (max)</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5536EB7"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*423 ± 23</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CCB371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442 ± 16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B0CB083"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430 ± 16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0DC7EE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488 ± 10</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5FD8B1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484 ± 10</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ACD87A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471 ± 8</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9DB235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0.628</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66E851A4"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7990FCE2"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0.670</w:t>
            </w:r>
          </w:p>
        </w:tc>
      </w:tr>
      <w:tr w:rsidR="0023132C" w:rsidRPr="00C42BF6" w14:paraId="299B7267" w14:textId="77777777" w:rsidTr="0023132C">
        <w:trPr>
          <w:trHeight w:val="360"/>
        </w:trPr>
        <w:tc>
          <w:tcPr>
            <w:tcW w:w="1395" w:type="dxa"/>
            <w:tcBorders>
              <w:top w:val="single" w:sz="6" w:space="0" w:color="222529"/>
              <w:left w:val="single" w:sz="6" w:space="0" w:color="222529"/>
              <w:bottom w:val="single" w:sz="6" w:space="0" w:color="222529"/>
              <w:right w:val="single" w:sz="6" w:space="0" w:color="222529"/>
            </w:tcBorders>
            <w:shd w:val="clear" w:color="auto" w:fill="auto"/>
            <w:tcMar>
              <w:left w:w="90" w:type="dxa"/>
              <w:right w:w="90" w:type="dxa"/>
            </w:tcMar>
            <w:vAlign w:val="center"/>
          </w:tcPr>
          <w:p w14:paraId="4E0E62B2" w14:textId="14925794" w:rsidR="0023132C" w:rsidRPr="00C42BF6" w:rsidRDefault="0023132C" w:rsidP="277E52C9">
            <w:pPr>
              <w:rPr>
                <w:rFonts w:ascii="Arial" w:eastAsia="Arial" w:hAnsi="Arial" w:cs="Arial"/>
                <w:color w:val="000000"/>
                <w:sz w:val="20"/>
                <w:szCs w:val="20"/>
              </w:rPr>
            </w:pPr>
            <w:r w:rsidRPr="00C42BF6">
              <w:rPr>
                <w:rFonts w:ascii="Arial" w:eastAsia="Arial" w:hAnsi="Arial" w:cs="Arial"/>
                <w:color w:val="000000"/>
                <w:sz w:val="20"/>
                <w:szCs w:val="20"/>
              </w:rPr>
              <w:t>Carotid</w:t>
            </w:r>
            <w:r w:rsidR="00B6147B">
              <w:rPr>
                <w:rFonts w:ascii="Arial" w:eastAsia="Arial" w:hAnsi="Arial" w:cs="Arial"/>
                <w:color w:val="000000"/>
                <w:sz w:val="20"/>
                <w:szCs w:val="20"/>
              </w:rPr>
              <w:t xml:space="preserve"> </w:t>
            </w:r>
            <w:r>
              <w:rPr>
                <w:rFonts w:ascii="Arial" w:eastAsia="Arial" w:hAnsi="Arial" w:cs="Arial"/>
                <w:color w:val="000000"/>
                <w:sz w:val="20"/>
                <w:szCs w:val="20"/>
              </w:rPr>
              <w:t>constriction to phenyl</w:t>
            </w:r>
            <w:r w:rsidR="00B6147B">
              <w:rPr>
                <w:rFonts w:ascii="Arial" w:eastAsia="Arial" w:hAnsi="Arial" w:cs="Arial"/>
                <w:color w:val="000000"/>
                <w:sz w:val="20"/>
                <w:szCs w:val="20"/>
              </w:rPr>
              <w:t>-</w:t>
            </w:r>
            <w:proofErr w:type="spellStart"/>
            <w:r>
              <w:rPr>
                <w:rFonts w:ascii="Arial" w:eastAsia="Arial" w:hAnsi="Arial" w:cs="Arial"/>
                <w:color w:val="000000"/>
                <w:sz w:val="20"/>
                <w:szCs w:val="20"/>
              </w:rPr>
              <w:t>ephrine</w:t>
            </w:r>
            <w:proofErr w:type="spellEnd"/>
            <w:r w:rsidR="00B6147B">
              <w:rPr>
                <w:rFonts w:ascii="Arial" w:eastAsia="Arial" w:hAnsi="Arial" w:cs="Arial"/>
                <w:color w:val="000000"/>
                <w:sz w:val="20"/>
                <w:szCs w:val="20"/>
              </w:rPr>
              <w:t xml:space="preserve"> (%)</w:t>
            </w:r>
          </w:p>
        </w:tc>
        <w:tc>
          <w:tcPr>
            <w:tcW w:w="763" w:type="dxa"/>
            <w:tcBorders>
              <w:top w:val="single" w:sz="6" w:space="0" w:color="222529"/>
              <w:left w:val="single" w:sz="6" w:space="0" w:color="222529"/>
              <w:bottom w:val="single" w:sz="6" w:space="0" w:color="222529"/>
              <w:right w:val="single" w:sz="6" w:space="0" w:color="222529"/>
            </w:tcBorders>
            <w:shd w:val="clear" w:color="auto" w:fill="auto"/>
            <w:tcMar>
              <w:left w:w="90" w:type="dxa"/>
              <w:right w:w="90" w:type="dxa"/>
            </w:tcMar>
            <w:vAlign w:val="bottom"/>
          </w:tcPr>
          <w:p w14:paraId="18ED351C" w14:textId="4C889447" w:rsidR="0023132C" w:rsidRPr="00C42BF6" w:rsidRDefault="00B6147B" w:rsidP="277E52C9">
            <w:pPr>
              <w:jc w:val="center"/>
              <w:rPr>
                <w:rFonts w:ascii="Arial" w:eastAsia="Arial" w:hAnsi="Arial" w:cs="Arial"/>
                <w:color w:val="000000"/>
                <w:sz w:val="20"/>
                <w:szCs w:val="20"/>
              </w:rPr>
            </w:pPr>
            <w:r>
              <w:rPr>
                <w:rFonts w:ascii="Arial" w:eastAsia="Arial" w:hAnsi="Arial" w:cs="Arial"/>
                <w:color w:val="000000"/>
                <w:sz w:val="20"/>
                <w:szCs w:val="20"/>
              </w:rPr>
              <w:t>18</w:t>
            </w:r>
            <w:r w:rsidRPr="00C42BF6">
              <w:rPr>
                <w:rFonts w:ascii="Arial" w:eastAsia="Arial" w:hAnsi="Arial" w:cs="Arial"/>
                <w:color w:val="000000"/>
                <w:sz w:val="20"/>
                <w:szCs w:val="20"/>
              </w:rPr>
              <w:t xml:space="preserve"> ±</w:t>
            </w:r>
            <w:r>
              <w:rPr>
                <w:rFonts w:ascii="Arial" w:eastAsia="Arial" w:hAnsi="Arial" w:cs="Arial"/>
                <w:color w:val="000000"/>
                <w:sz w:val="20"/>
                <w:szCs w:val="20"/>
              </w:rPr>
              <w:t xml:space="preserve"> 2</w:t>
            </w:r>
          </w:p>
        </w:tc>
        <w:tc>
          <w:tcPr>
            <w:tcW w:w="763" w:type="dxa"/>
            <w:tcBorders>
              <w:top w:val="single" w:sz="6" w:space="0" w:color="222529"/>
              <w:left w:val="single" w:sz="6" w:space="0" w:color="222529"/>
              <w:bottom w:val="single" w:sz="6" w:space="0" w:color="222529"/>
              <w:right w:val="single" w:sz="6" w:space="0" w:color="222529"/>
            </w:tcBorders>
            <w:shd w:val="clear" w:color="auto" w:fill="auto"/>
            <w:tcMar>
              <w:left w:w="90" w:type="dxa"/>
              <w:right w:w="90" w:type="dxa"/>
            </w:tcMar>
            <w:vAlign w:val="bottom"/>
          </w:tcPr>
          <w:p w14:paraId="5F1B42F8" w14:textId="61AECE4A" w:rsidR="0023132C" w:rsidRPr="00C42BF6" w:rsidRDefault="00B6147B" w:rsidP="277E52C9">
            <w:pPr>
              <w:jc w:val="center"/>
              <w:rPr>
                <w:rFonts w:ascii="Arial" w:eastAsia="Arial" w:hAnsi="Arial" w:cs="Arial"/>
                <w:color w:val="000000"/>
                <w:sz w:val="20"/>
                <w:szCs w:val="20"/>
              </w:rPr>
            </w:pPr>
            <w:r>
              <w:rPr>
                <w:rFonts w:ascii="Arial" w:eastAsia="Arial" w:hAnsi="Arial" w:cs="Arial"/>
                <w:color w:val="000000"/>
                <w:sz w:val="20"/>
                <w:szCs w:val="20"/>
              </w:rPr>
              <w:t>22</w:t>
            </w:r>
            <w:r w:rsidRPr="00C42BF6">
              <w:rPr>
                <w:rFonts w:ascii="Arial" w:eastAsia="Arial" w:hAnsi="Arial" w:cs="Arial"/>
                <w:color w:val="000000"/>
                <w:sz w:val="20"/>
                <w:szCs w:val="20"/>
              </w:rPr>
              <w:t xml:space="preserve"> ±</w:t>
            </w:r>
            <w:r>
              <w:rPr>
                <w:rFonts w:ascii="Arial" w:eastAsia="Arial" w:hAnsi="Arial" w:cs="Arial"/>
                <w:color w:val="000000"/>
                <w:sz w:val="20"/>
                <w:szCs w:val="20"/>
              </w:rPr>
              <w:t xml:space="preserve"> 3</w:t>
            </w:r>
          </w:p>
        </w:tc>
        <w:tc>
          <w:tcPr>
            <w:tcW w:w="763" w:type="dxa"/>
            <w:tcBorders>
              <w:top w:val="single" w:sz="6" w:space="0" w:color="222529"/>
              <w:left w:val="single" w:sz="6" w:space="0" w:color="222529"/>
              <w:bottom w:val="single" w:sz="6" w:space="0" w:color="222529"/>
              <w:right w:val="single" w:sz="6" w:space="0" w:color="222529"/>
            </w:tcBorders>
            <w:shd w:val="clear" w:color="auto" w:fill="auto"/>
            <w:tcMar>
              <w:left w:w="90" w:type="dxa"/>
              <w:right w:w="90" w:type="dxa"/>
            </w:tcMar>
            <w:vAlign w:val="bottom"/>
          </w:tcPr>
          <w:p w14:paraId="33E50F18" w14:textId="555D7827" w:rsidR="0023132C" w:rsidRPr="00C42BF6" w:rsidRDefault="00B6147B" w:rsidP="277E52C9">
            <w:pPr>
              <w:jc w:val="center"/>
              <w:rPr>
                <w:rFonts w:ascii="Arial" w:eastAsia="Arial" w:hAnsi="Arial" w:cs="Arial"/>
                <w:color w:val="000000"/>
                <w:sz w:val="20"/>
                <w:szCs w:val="20"/>
              </w:rPr>
            </w:pPr>
            <w:r>
              <w:rPr>
                <w:rFonts w:ascii="Arial" w:eastAsia="Arial" w:hAnsi="Arial" w:cs="Arial"/>
                <w:color w:val="000000"/>
                <w:sz w:val="20"/>
                <w:szCs w:val="20"/>
              </w:rPr>
              <w:t>16</w:t>
            </w:r>
            <w:r w:rsidRPr="00C42BF6">
              <w:rPr>
                <w:rFonts w:ascii="Arial" w:eastAsia="Arial" w:hAnsi="Arial" w:cs="Arial"/>
                <w:color w:val="000000"/>
                <w:sz w:val="20"/>
                <w:szCs w:val="20"/>
              </w:rPr>
              <w:t xml:space="preserve"> ±</w:t>
            </w:r>
            <w:r>
              <w:rPr>
                <w:rFonts w:ascii="Arial" w:eastAsia="Arial" w:hAnsi="Arial" w:cs="Arial"/>
                <w:color w:val="000000"/>
                <w:sz w:val="20"/>
                <w:szCs w:val="20"/>
              </w:rPr>
              <w:t xml:space="preserve"> 2</w:t>
            </w:r>
          </w:p>
        </w:tc>
        <w:tc>
          <w:tcPr>
            <w:tcW w:w="763" w:type="dxa"/>
            <w:tcBorders>
              <w:top w:val="single" w:sz="6" w:space="0" w:color="222529"/>
              <w:left w:val="single" w:sz="6" w:space="0" w:color="222529"/>
              <w:bottom w:val="single" w:sz="6" w:space="0" w:color="222529"/>
              <w:right w:val="single" w:sz="6" w:space="0" w:color="222529"/>
            </w:tcBorders>
            <w:shd w:val="clear" w:color="auto" w:fill="auto"/>
            <w:tcMar>
              <w:left w:w="90" w:type="dxa"/>
              <w:right w:w="90" w:type="dxa"/>
            </w:tcMar>
            <w:vAlign w:val="bottom"/>
          </w:tcPr>
          <w:p w14:paraId="7580CDE1" w14:textId="2AFBBB4E" w:rsidR="0023132C" w:rsidRPr="00C42BF6" w:rsidRDefault="00B6147B" w:rsidP="277E52C9">
            <w:pPr>
              <w:jc w:val="center"/>
              <w:rPr>
                <w:rFonts w:ascii="Arial" w:eastAsia="Arial" w:hAnsi="Arial" w:cs="Arial"/>
                <w:color w:val="000000"/>
                <w:sz w:val="20"/>
                <w:szCs w:val="20"/>
              </w:rPr>
            </w:pPr>
            <w:r>
              <w:rPr>
                <w:rFonts w:ascii="Arial" w:eastAsia="Arial" w:hAnsi="Arial" w:cs="Arial"/>
                <w:color w:val="000000"/>
                <w:sz w:val="20"/>
                <w:szCs w:val="20"/>
              </w:rPr>
              <w:t>15</w:t>
            </w:r>
            <w:r w:rsidRPr="00C42BF6">
              <w:rPr>
                <w:rFonts w:ascii="Arial" w:eastAsia="Arial" w:hAnsi="Arial" w:cs="Arial"/>
                <w:color w:val="000000"/>
                <w:sz w:val="20"/>
                <w:szCs w:val="20"/>
              </w:rPr>
              <w:t xml:space="preserve"> ±</w:t>
            </w:r>
            <w:r>
              <w:rPr>
                <w:rFonts w:ascii="Arial" w:eastAsia="Arial" w:hAnsi="Arial" w:cs="Arial"/>
                <w:color w:val="000000"/>
                <w:sz w:val="20"/>
                <w:szCs w:val="20"/>
              </w:rPr>
              <w:t xml:space="preserve"> 2</w:t>
            </w:r>
          </w:p>
        </w:tc>
        <w:tc>
          <w:tcPr>
            <w:tcW w:w="763" w:type="dxa"/>
            <w:tcBorders>
              <w:top w:val="single" w:sz="6" w:space="0" w:color="222529"/>
              <w:left w:val="single" w:sz="6" w:space="0" w:color="222529"/>
              <w:bottom w:val="single" w:sz="6" w:space="0" w:color="222529"/>
              <w:right w:val="single" w:sz="6" w:space="0" w:color="222529"/>
            </w:tcBorders>
            <w:shd w:val="clear" w:color="auto" w:fill="auto"/>
            <w:tcMar>
              <w:left w:w="90" w:type="dxa"/>
              <w:right w:w="90" w:type="dxa"/>
            </w:tcMar>
            <w:vAlign w:val="bottom"/>
          </w:tcPr>
          <w:p w14:paraId="6967197C" w14:textId="27B81545" w:rsidR="0023132C" w:rsidRPr="00C42BF6" w:rsidRDefault="00B6147B" w:rsidP="277E52C9">
            <w:pPr>
              <w:jc w:val="center"/>
              <w:rPr>
                <w:rFonts w:ascii="Arial" w:eastAsia="Arial" w:hAnsi="Arial" w:cs="Arial"/>
                <w:color w:val="000000"/>
                <w:sz w:val="20"/>
                <w:szCs w:val="20"/>
              </w:rPr>
            </w:pPr>
            <w:r>
              <w:rPr>
                <w:rFonts w:ascii="Arial" w:eastAsia="Arial" w:hAnsi="Arial" w:cs="Arial"/>
                <w:color w:val="000000"/>
                <w:sz w:val="20"/>
                <w:szCs w:val="20"/>
              </w:rPr>
              <w:t>21</w:t>
            </w:r>
            <w:r w:rsidRPr="00C42BF6">
              <w:rPr>
                <w:rFonts w:ascii="Arial" w:eastAsia="Arial" w:hAnsi="Arial" w:cs="Arial"/>
                <w:color w:val="000000"/>
                <w:sz w:val="20"/>
                <w:szCs w:val="20"/>
              </w:rPr>
              <w:t xml:space="preserve"> ±</w:t>
            </w:r>
            <w:r>
              <w:rPr>
                <w:rFonts w:ascii="Arial" w:eastAsia="Arial" w:hAnsi="Arial" w:cs="Arial"/>
                <w:color w:val="000000"/>
                <w:sz w:val="20"/>
                <w:szCs w:val="20"/>
              </w:rPr>
              <w:t xml:space="preserve"> 3</w:t>
            </w:r>
          </w:p>
        </w:tc>
        <w:tc>
          <w:tcPr>
            <w:tcW w:w="763" w:type="dxa"/>
            <w:tcBorders>
              <w:top w:val="single" w:sz="6" w:space="0" w:color="222529"/>
              <w:left w:val="single" w:sz="6" w:space="0" w:color="222529"/>
              <w:bottom w:val="single" w:sz="6" w:space="0" w:color="222529"/>
              <w:right w:val="single" w:sz="6" w:space="0" w:color="222529"/>
            </w:tcBorders>
            <w:shd w:val="clear" w:color="auto" w:fill="auto"/>
            <w:tcMar>
              <w:left w:w="90" w:type="dxa"/>
              <w:right w:w="90" w:type="dxa"/>
            </w:tcMar>
            <w:vAlign w:val="bottom"/>
          </w:tcPr>
          <w:p w14:paraId="3349A7B4" w14:textId="3A4E5A2C" w:rsidR="0023132C" w:rsidRPr="00C42BF6" w:rsidRDefault="00B6147B" w:rsidP="277E52C9">
            <w:pPr>
              <w:jc w:val="center"/>
              <w:rPr>
                <w:rFonts w:ascii="Arial" w:eastAsia="Arial" w:hAnsi="Arial" w:cs="Arial"/>
                <w:color w:val="000000"/>
                <w:sz w:val="20"/>
                <w:szCs w:val="20"/>
              </w:rPr>
            </w:pPr>
            <w:r>
              <w:rPr>
                <w:rFonts w:ascii="Arial" w:eastAsia="Arial" w:hAnsi="Arial" w:cs="Arial"/>
                <w:color w:val="000000"/>
                <w:sz w:val="20"/>
                <w:szCs w:val="20"/>
              </w:rPr>
              <w:t>17</w:t>
            </w:r>
            <w:r w:rsidRPr="00C42BF6">
              <w:rPr>
                <w:rFonts w:ascii="Arial" w:eastAsia="Arial" w:hAnsi="Arial" w:cs="Arial"/>
                <w:color w:val="000000"/>
                <w:sz w:val="20"/>
                <w:szCs w:val="20"/>
              </w:rPr>
              <w:t xml:space="preserve"> ±</w:t>
            </w:r>
            <w:r>
              <w:rPr>
                <w:rFonts w:ascii="Arial" w:eastAsia="Arial" w:hAnsi="Arial" w:cs="Arial"/>
                <w:color w:val="000000"/>
                <w:sz w:val="20"/>
                <w:szCs w:val="20"/>
              </w:rPr>
              <w:t xml:space="preserve"> 2</w:t>
            </w:r>
          </w:p>
        </w:tc>
        <w:tc>
          <w:tcPr>
            <w:tcW w:w="1138" w:type="dxa"/>
            <w:gridSpan w:val="2"/>
            <w:tcBorders>
              <w:top w:val="single" w:sz="6" w:space="0" w:color="222529"/>
              <w:left w:val="single" w:sz="6" w:space="0" w:color="222529"/>
              <w:bottom w:val="single" w:sz="6" w:space="0" w:color="222529"/>
              <w:right w:val="single" w:sz="6" w:space="0" w:color="222529"/>
            </w:tcBorders>
            <w:shd w:val="clear" w:color="auto" w:fill="auto"/>
            <w:tcMar>
              <w:left w:w="90" w:type="dxa"/>
              <w:right w:w="90" w:type="dxa"/>
            </w:tcMar>
            <w:vAlign w:val="bottom"/>
          </w:tcPr>
          <w:p w14:paraId="2BB36F52" w14:textId="7CD585A2" w:rsidR="0023132C" w:rsidRPr="00C42BF6" w:rsidRDefault="00B6147B" w:rsidP="277E52C9">
            <w:pPr>
              <w:jc w:val="center"/>
              <w:rPr>
                <w:rFonts w:ascii="Arial" w:eastAsia="Arial" w:hAnsi="Arial" w:cs="Arial"/>
                <w:color w:val="000000"/>
                <w:sz w:val="20"/>
                <w:szCs w:val="20"/>
              </w:rPr>
            </w:pPr>
            <w:r>
              <w:rPr>
                <w:rFonts w:ascii="Arial" w:eastAsia="Arial" w:hAnsi="Arial" w:cs="Arial"/>
                <w:color w:val="000000"/>
                <w:sz w:val="20"/>
                <w:szCs w:val="20"/>
              </w:rPr>
              <w:t>0.602</w:t>
            </w:r>
          </w:p>
        </w:tc>
        <w:tc>
          <w:tcPr>
            <w:tcW w:w="1008" w:type="dxa"/>
            <w:tcBorders>
              <w:top w:val="single" w:sz="6" w:space="0" w:color="222529"/>
              <w:left w:val="single" w:sz="6" w:space="0" w:color="222529"/>
              <w:bottom w:val="single" w:sz="6" w:space="0" w:color="222529"/>
              <w:right w:val="single" w:sz="6" w:space="0" w:color="222529"/>
            </w:tcBorders>
            <w:shd w:val="clear" w:color="auto" w:fill="auto"/>
            <w:tcMar>
              <w:left w:w="90" w:type="dxa"/>
              <w:right w:w="90" w:type="dxa"/>
            </w:tcMar>
            <w:vAlign w:val="bottom"/>
          </w:tcPr>
          <w:p w14:paraId="1DC268D8" w14:textId="6AB899C4" w:rsidR="0023132C" w:rsidRPr="00C42BF6" w:rsidRDefault="00B6147B" w:rsidP="277E52C9">
            <w:pPr>
              <w:jc w:val="center"/>
              <w:rPr>
                <w:rFonts w:ascii="Arial" w:eastAsia="Arial" w:hAnsi="Arial" w:cs="Arial"/>
                <w:color w:val="000000"/>
                <w:sz w:val="20"/>
                <w:szCs w:val="20"/>
              </w:rPr>
            </w:pPr>
            <w:r>
              <w:rPr>
                <w:rFonts w:ascii="Arial" w:eastAsia="Arial" w:hAnsi="Arial" w:cs="Arial"/>
                <w:color w:val="000000"/>
                <w:sz w:val="20"/>
                <w:szCs w:val="20"/>
              </w:rPr>
              <w:t>0.494</w:t>
            </w:r>
          </w:p>
        </w:tc>
        <w:tc>
          <w:tcPr>
            <w:tcW w:w="1152" w:type="dxa"/>
            <w:tcBorders>
              <w:top w:val="single" w:sz="6" w:space="0" w:color="222529"/>
              <w:left w:val="single" w:sz="6" w:space="0" w:color="222529"/>
              <w:bottom w:val="single" w:sz="6" w:space="0" w:color="222529"/>
              <w:right w:val="single" w:sz="6" w:space="0" w:color="222529"/>
            </w:tcBorders>
            <w:shd w:val="clear" w:color="auto" w:fill="auto"/>
            <w:vAlign w:val="bottom"/>
          </w:tcPr>
          <w:p w14:paraId="463CE7F5" w14:textId="3860465A" w:rsidR="0023132C" w:rsidRPr="00C42BF6" w:rsidRDefault="00B6147B" w:rsidP="277E52C9">
            <w:pPr>
              <w:jc w:val="center"/>
              <w:rPr>
                <w:rFonts w:ascii="Arial" w:eastAsia="Arial" w:hAnsi="Arial" w:cs="Arial"/>
                <w:color w:val="000000"/>
                <w:sz w:val="20"/>
                <w:szCs w:val="20"/>
              </w:rPr>
            </w:pPr>
            <w:r>
              <w:rPr>
                <w:rFonts w:ascii="Arial" w:eastAsia="Arial" w:hAnsi="Arial" w:cs="Arial"/>
                <w:color w:val="000000"/>
                <w:sz w:val="20"/>
                <w:szCs w:val="20"/>
              </w:rPr>
              <w:t>0.039</w:t>
            </w:r>
          </w:p>
        </w:tc>
      </w:tr>
      <w:tr w:rsidR="00580A30" w:rsidRPr="00C42BF6" w14:paraId="362CCC9F" w14:textId="77777777" w:rsidTr="001D72E1">
        <w:trPr>
          <w:trHeight w:val="360"/>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6D2C4FBD"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Aorta diameter (resting)</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7FBF4B4"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624 ± 18</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77E77EB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614 ± 16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6F5572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601 ± 14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D1E166B"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644 ± 14</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64EBBC5"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666 ± 16</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586578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645 ± 16</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DD96DAD"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0.569</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9515B32"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0.004</w:t>
            </w:r>
          </w:p>
        </w:tc>
        <w:tc>
          <w:tcPr>
            <w:tcW w:w="1152" w:type="dxa"/>
            <w:tcBorders>
              <w:top w:val="single" w:sz="6" w:space="0" w:color="222529"/>
              <w:left w:val="single" w:sz="6" w:space="0" w:color="222529"/>
              <w:bottom w:val="single" w:sz="6" w:space="0" w:color="222529"/>
              <w:right w:val="single" w:sz="6" w:space="0" w:color="222529"/>
            </w:tcBorders>
            <w:vAlign w:val="bottom"/>
          </w:tcPr>
          <w:p w14:paraId="11243C5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0.550</w:t>
            </w:r>
          </w:p>
        </w:tc>
      </w:tr>
      <w:tr w:rsidR="00580A30" w:rsidRPr="00C42BF6" w14:paraId="43AEDCD6" w14:textId="77777777" w:rsidTr="001D72E1">
        <w:trPr>
          <w:trHeight w:val="360"/>
        </w:trPr>
        <w:tc>
          <w:tcPr>
            <w:tcW w:w="1395" w:type="dxa"/>
            <w:tcBorders>
              <w:top w:val="single" w:sz="6" w:space="0" w:color="222529"/>
              <w:left w:val="single" w:sz="6" w:space="0" w:color="222529"/>
              <w:bottom w:val="single" w:sz="6" w:space="0" w:color="222529"/>
              <w:right w:val="single" w:sz="6" w:space="0" w:color="222529"/>
            </w:tcBorders>
            <w:tcMar>
              <w:left w:w="90" w:type="dxa"/>
              <w:right w:w="90" w:type="dxa"/>
            </w:tcMar>
            <w:vAlign w:val="center"/>
          </w:tcPr>
          <w:p w14:paraId="6FB2CDDE" w14:textId="77777777" w:rsidR="277E52C9" w:rsidRPr="00C42BF6" w:rsidRDefault="277E52C9" w:rsidP="277E52C9">
            <w:pPr>
              <w:rPr>
                <w:rFonts w:ascii="Arial" w:eastAsia="Arial" w:hAnsi="Arial" w:cs="Arial"/>
                <w:color w:val="000000"/>
                <w:sz w:val="20"/>
                <w:szCs w:val="20"/>
              </w:rPr>
            </w:pPr>
            <w:r w:rsidRPr="00C42BF6">
              <w:rPr>
                <w:rFonts w:ascii="Arial" w:eastAsia="Arial" w:hAnsi="Arial" w:cs="Arial"/>
                <w:color w:val="000000"/>
                <w:sz w:val="20"/>
                <w:szCs w:val="20"/>
              </w:rPr>
              <w:t>Aorta wall thickness</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990C33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*34 ± 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19F1CA2"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*34 ± 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01A370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*33 ± 1</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18BE395A"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46 ± 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54AAF1E8"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45 ± 2</w:t>
            </w:r>
          </w:p>
        </w:tc>
        <w:tc>
          <w:tcPr>
            <w:tcW w:w="763"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3D0F44AC"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45 ± 3</w:t>
            </w:r>
          </w:p>
        </w:tc>
        <w:tc>
          <w:tcPr>
            <w:tcW w:w="1138" w:type="dxa"/>
            <w:gridSpan w:val="2"/>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0DCA49D6"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0.837</w:t>
            </w:r>
          </w:p>
        </w:tc>
        <w:tc>
          <w:tcPr>
            <w:tcW w:w="1008" w:type="dxa"/>
            <w:tcBorders>
              <w:top w:val="single" w:sz="6" w:space="0" w:color="222529"/>
              <w:left w:val="single" w:sz="6" w:space="0" w:color="222529"/>
              <w:bottom w:val="single" w:sz="6" w:space="0" w:color="222529"/>
              <w:right w:val="single" w:sz="6" w:space="0" w:color="222529"/>
            </w:tcBorders>
            <w:tcMar>
              <w:left w:w="90" w:type="dxa"/>
              <w:right w:w="90" w:type="dxa"/>
            </w:tcMar>
            <w:vAlign w:val="bottom"/>
          </w:tcPr>
          <w:p w14:paraId="247F57EF"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&lt;0.0001</w:t>
            </w:r>
          </w:p>
        </w:tc>
        <w:tc>
          <w:tcPr>
            <w:tcW w:w="1152" w:type="dxa"/>
            <w:tcBorders>
              <w:top w:val="single" w:sz="6" w:space="0" w:color="222529"/>
              <w:left w:val="single" w:sz="6" w:space="0" w:color="222529"/>
              <w:bottom w:val="single" w:sz="6" w:space="0" w:color="222529"/>
              <w:right w:val="single" w:sz="6" w:space="0" w:color="222529"/>
            </w:tcBorders>
            <w:vAlign w:val="bottom"/>
          </w:tcPr>
          <w:p w14:paraId="445D2059" w14:textId="77777777" w:rsidR="277E52C9" w:rsidRPr="00C42BF6" w:rsidRDefault="277E52C9" w:rsidP="277E52C9">
            <w:pPr>
              <w:jc w:val="center"/>
              <w:rPr>
                <w:rFonts w:ascii="Arial" w:eastAsia="Arial" w:hAnsi="Arial" w:cs="Arial"/>
                <w:color w:val="000000"/>
                <w:sz w:val="20"/>
                <w:szCs w:val="20"/>
              </w:rPr>
            </w:pPr>
            <w:r w:rsidRPr="00C42BF6">
              <w:rPr>
                <w:rFonts w:ascii="Arial" w:eastAsia="Arial" w:hAnsi="Arial" w:cs="Arial"/>
                <w:color w:val="000000"/>
                <w:sz w:val="20"/>
                <w:szCs w:val="20"/>
              </w:rPr>
              <w:t>0.963</w:t>
            </w:r>
          </w:p>
        </w:tc>
      </w:tr>
      <w:tr w:rsidR="277E52C9" w:rsidRPr="00C42BF6" w14:paraId="031662F2" w14:textId="77777777" w:rsidTr="001D72E1">
        <w:trPr>
          <w:trHeight w:val="555"/>
        </w:trPr>
        <w:tc>
          <w:tcPr>
            <w:tcW w:w="9271" w:type="dxa"/>
            <w:gridSpan w:val="11"/>
            <w:tcBorders>
              <w:top w:val="single" w:sz="6" w:space="0" w:color="222529"/>
              <w:left w:val="single" w:sz="6" w:space="0" w:color="222529"/>
              <w:bottom w:val="single" w:sz="6" w:space="0" w:color="222529"/>
              <w:right w:val="single" w:sz="6" w:space="0" w:color="222529"/>
            </w:tcBorders>
            <w:tcMar>
              <w:top w:w="285" w:type="dxa"/>
              <w:left w:w="285" w:type="dxa"/>
              <w:bottom w:w="285" w:type="dxa"/>
              <w:right w:w="285" w:type="dxa"/>
            </w:tcMar>
          </w:tcPr>
          <w:p w14:paraId="265AC3CD" w14:textId="30B92A9B" w:rsidR="277E52C9" w:rsidRPr="00C42BF6" w:rsidRDefault="277E52C9" w:rsidP="001D72E1">
            <w:pPr>
              <w:spacing w:after="0"/>
              <w:ind w:left="-213"/>
              <w:rPr>
                <w:rFonts w:ascii="Arial" w:eastAsia="Arial" w:hAnsi="Arial" w:cs="Arial"/>
                <w:color w:val="000000"/>
              </w:rPr>
            </w:pPr>
            <w:r w:rsidRPr="00C42BF6">
              <w:rPr>
                <w:rFonts w:ascii="Arial" w:eastAsia="Arial" w:hAnsi="Arial" w:cs="Arial"/>
                <w:color w:val="000000"/>
              </w:rPr>
              <w:t xml:space="preserve">Data are the mean ± SEM. Groups are young (Y) or old (O) control (C), acetate supplemented (A), or high-fiber diet fed (F) mice (ex. YA = young mouse supplemented with acetate). Statistics are two-way (age x treatment) ANOVA with </w:t>
            </w:r>
            <w:proofErr w:type="spellStart"/>
            <w:r w:rsidRPr="00C42BF6">
              <w:rPr>
                <w:rFonts w:ascii="Arial" w:eastAsia="Arial" w:hAnsi="Arial" w:cs="Arial"/>
                <w:color w:val="000000"/>
              </w:rPr>
              <w:t>Šídák’s</w:t>
            </w:r>
            <w:proofErr w:type="spellEnd"/>
            <w:r w:rsidRPr="00C42BF6">
              <w:rPr>
                <w:rFonts w:ascii="Arial" w:eastAsia="Arial" w:hAnsi="Arial" w:cs="Arial"/>
                <w:color w:val="000000"/>
              </w:rPr>
              <w:t xml:space="preserve"> multiple comparison's test</w:t>
            </w:r>
            <w:r w:rsidR="00C635F7">
              <w:rPr>
                <w:rFonts w:ascii="Arial" w:eastAsia="Arial" w:hAnsi="Arial" w:cs="Arial"/>
                <w:color w:val="000000"/>
              </w:rPr>
              <w:t xml:space="preserve"> </w:t>
            </w:r>
            <w:r w:rsidR="00C635F7" w:rsidRPr="00C635F7">
              <w:rPr>
                <w:rFonts w:ascii="Arial" w:eastAsia="Arial" w:hAnsi="Arial" w:cs="Arial"/>
                <w:color w:val="000000"/>
              </w:rPr>
              <w:t>when a significant main effect was observed</w:t>
            </w:r>
            <w:r w:rsidRPr="00C42BF6">
              <w:rPr>
                <w:rFonts w:ascii="Arial" w:eastAsia="Arial" w:hAnsi="Arial" w:cs="Arial"/>
                <w:color w:val="000000"/>
              </w:rPr>
              <w:t>. *</w:t>
            </w:r>
            <w:r w:rsidRPr="00C42BF6">
              <w:rPr>
                <w:rFonts w:ascii="Arial" w:eastAsia="Arial" w:hAnsi="Arial" w:cs="Arial"/>
                <w:i/>
                <w:iCs/>
                <w:color w:val="000000"/>
              </w:rPr>
              <w:t>P</w:t>
            </w:r>
            <w:r w:rsidRPr="00C42BF6">
              <w:rPr>
                <w:rFonts w:ascii="Arial" w:eastAsia="Arial" w:hAnsi="Arial" w:cs="Arial"/>
                <w:color w:val="000000"/>
              </w:rPr>
              <w:t>&lt;0.05 vs. O within treatment group, †</w:t>
            </w:r>
            <w:r w:rsidRPr="00C42BF6">
              <w:rPr>
                <w:rFonts w:ascii="Arial" w:eastAsia="Arial" w:hAnsi="Arial" w:cs="Arial"/>
                <w:i/>
                <w:iCs/>
                <w:color w:val="000000"/>
              </w:rPr>
              <w:t>P</w:t>
            </w:r>
            <w:r w:rsidRPr="00C42BF6">
              <w:rPr>
                <w:rFonts w:ascii="Arial" w:eastAsia="Arial" w:hAnsi="Arial" w:cs="Arial"/>
                <w:color w:val="000000"/>
              </w:rPr>
              <w:t>&lt;0.05 vs. C within age group, ‡</w:t>
            </w:r>
            <w:r w:rsidRPr="00C42BF6">
              <w:rPr>
                <w:rFonts w:ascii="Arial" w:eastAsia="Arial" w:hAnsi="Arial" w:cs="Arial"/>
                <w:i/>
                <w:iCs/>
                <w:color w:val="000000"/>
              </w:rPr>
              <w:t>P</w:t>
            </w:r>
            <w:r w:rsidRPr="00C42BF6">
              <w:rPr>
                <w:rFonts w:ascii="Arial" w:eastAsia="Arial" w:hAnsi="Arial" w:cs="Arial"/>
                <w:color w:val="000000"/>
              </w:rPr>
              <w:t>&lt;0.05 A vs. F within age group. </w:t>
            </w:r>
          </w:p>
        </w:tc>
      </w:tr>
    </w:tbl>
    <w:p w14:paraId="0CDE9EBB" w14:textId="77777777" w:rsidR="00942809" w:rsidRPr="00C42BF6" w:rsidRDefault="00942809" w:rsidP="277E52C9">
      <w:pPr>
        <w:rPr>
          <w:rFonts w:ascii="Arial" w:hAnsi="Arial" w:cs="Arial"/>
          <w:color w:val="000000"/>
        </w:rPr>
      </w:pPr>
    </w:p>
    <w:p w14:paraId="537C23FB" w14:textId="77777777" w:rsidR="277E52C9" w:rsidRPr="00C42BF6" w:rsidRDefault="00942809" w:rsidP="277E52C9">
      <w:pPr>
        <w:rPr>
          <w:rFonts w:ascii="Arial" w:hAnsi="Arial" w:cs="Arial"/>
          <w:color w:val="000000"/>
        </w:rPr>
      </w:pPr>
      <w:r w:rsidRPr="00C42BF6">
        <w:rPr>
          <w:rFonts w:ascii="Arial" w:hAnsi="Arial" w:cs="Arial"/>
          <w:color w:val="000000"/>
        </w:rPr>
        <w:br w:type="page"/>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455"/>
        <w:gridCol w:w="1470"/>
        <w:gridCol w:w="1485"/>
        <w:gridCol w:w="1575"/>
        <w:gridCol w:w="1470"/>
        <w:gridCol w:w="1830"/>
      </w:tblGrid>
      <w:tr w:rsidR="00580A30" w:rsidRPr="00C42BF6" w14:paraId="4C0A12EE" w14:textId="77777777" w:rsidTr="00C42BF6">
        <w:trPr>
          <w:trHeight w:val="432"/>
        </w:trPr>
        <w:tc>
          <w:tcPr>
            <w:tcW w:w="9285" w:type="dxa"/>
            <w:gridSpan w:val="6"/>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center"/>
          </w:tcPr>
          <w:p w14:paraId="5C7D3FEB" w14:textId="77777777" w:rsidR="00E313B8" w:rsidRPr="00C42BF6" w:rsidRDefault="00E313B8" w:rsidP="00E313B8">
            <w:pPr>
              <w:spacing w:after="0"/>
              <w:rPr>
                <w:rFonts w:ascii="Arial" w:eastAsia="Arial" w:hAnsi="Arial" w:cs="Arial"/>
                <w:b/>
                <w:bCs/>
                <w:color w:val="000000"/>
                <w:sz w:val="24"/>
                <w:szCs w:val="24"/>
              </w:rPr>
            </w:pPr>
            <w:r w:rsidRPr="00C42BF6">
              <w:rPr>
                <w:rFonts w:ascii="Arial" w:eastAsia="Arial" w:hAnsi="Arial" w:cs="Arial"/>
                <w:b/>
                <w:bCs/>
                <w:color w:val="000000"/>
                <w:sz w:val="24"/>
                <w:szCs w:val="24"/>
              </w:rPr>
              <w:lastRenderedPageBreak/>
              <w:t xml:space="preserve"> Supplementary Table S4</w:t>
            </w:r>
            <w:r w:rsidR="00587CD4" w:rsidRPr="00C42BF6">
              <w:rPr>
                <w:rFonts w:ascii="Arial" w:eastAsia="Arial" w:hAnsi="Arial" w:cs="Arial"/>
                <w:b/>
                <w:bCs/>
                <w:color w:val="000000"/>
                <w:sz w:val="24"/>
                <w:szCs w:val="24"/>
              </w:rPr>
              <w:t>:</w:t>
            </w:r>
            <w:r w:rsidRPr="00C42BF6">
              <w:rPr>
                <w:rFonts w:ascii="Arial" w:eastAsia="Arial" w:hAnsi="Arial" w:cs="Arial"/>
                <w:b/>
                <w:bCs/>
                <w:color w:val="000000"/>
                <w:sz w:val="24"/>
                <w:szCs w:val="24"/>
              </w:rPr>
              <w:t xml:space="preserve"> Plasma levels of inflammatory cytokines.</w:t>
            </w:r>
          </w:p>
        </w:tc>
      </w:tr>
      <w:tr w:rsidR="00580A30" w:rsidRPr="00C42BF6" w14:paraId="2138D24F"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center"/>
          </w:tcPr>
          <w:p w14:paraId="39851844"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Cytokine</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center"/>
          </w:tcPr>
          <w:p w14:paraId="4200C072"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YC</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center"/>
          </w:tcPr>
          <w:p w14:paraId="31E3A3C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OC</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center"/>
          </w:tcPr>
          <w:p w14:paraId="050F5613"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OA</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center"/>
          </w:tcPr>
          <w:p w14:paraId="3865DAA3"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OF</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center"/>
          </w:tcPr>
          <w:p w14:paraId="368180D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ANOVA</w:t>
            </w:r>
            <w:r w:rsidRPr="00C42BF6">
              <w:rPr>
                <w:rFonts w:ascii="Arial" w:eastAsia="Arial" w:hAnsi="Arial" w:cs="Arial"/>
                <w:b/>
                <w:bCs/>
                <w:i/>
                <w:iCs/>
                <w:color w:val="000000"/>
                <w:sz w:val="20"/>
                <w:szCs w:val="20"/>
              </w:rPr>
              <w:t xml:space="preserve"> P </w:t>
            </w:r>
            <w:r w:rsidRPr="00C42BF6">
              <w:rPr>
                <w:rFonts w:ascii="Arial" w:eastAsia="Arial" w:hAnsi="Arial" w:cs="Arial"/>
                <w:b/>
                <w:bCs/>
                <w:color w:val="000000"/>
                <w:sz w:val="20"/>
                <w:szCs w:val="20"/>
              </w:rPr>
              <w:t>Value</w:t>
            </w:r>
          </w:p>
        </w:tc>
      </w:tr>
      <w:tr w:rsidR="00580A30" w:rsidRPr="00C42BF6" w14:paraId="21371135"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BE8F37F" w14:textId="77777777" w:rsidR="277E52C9" w:rsidRPr="00C42BF6" w:rsidRDefault="277E52C9" w:rsidP="00E313B8">
            <w:pPr>
              <w:spacing w:after="0"/>
              <w:rPr>
                <w:rFonts w:ascii="Arial" w:eastAsia="Arial" w:hAnsi="Arial" w:cs="Arial"/>
                <w:color w:val="000000"/>
                <w:sz w:val="20"/>
                <w:szCs w:val="20"/>
              </w:rPr>
            </w:pPr>
            <w:proofErr w:type="spellStart"/>
            <w:r w:rsidRPr="00C42BF6">
              <w:rPr>
                <w:rFonts w:ascii="Arial" w:eastAsia="Arial" w:hAnsi="Arial" w:cs="Arial"/>
                <w:b/>
                <w:bCs/>
                <w:color w:val="000000"/>
                <w:sz w:val="20"/>
                <w:szCs w:val="20"/>
              </w:rPr>
              <w:t>bFGF</w:t>
            </w:r>
            <w:proofErr w:type="spellEnd"/>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2D21DF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288 ± 41</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1D4438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305 ± 34</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72E7D3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310 ± 67</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D874AA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312 ± 43</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A48AD9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0.9846</w:t>
            </w:r>
          </w:p>
        </w:tc>
      </w:tr>
      <w:tr w:rsidR="00580A30" w:rsidRPr="00C42BF6" w14:paraId="58DD73B6"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89BD1F4"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BLC</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CD26437"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1241 ± 228</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E5B855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7112 ± 1312</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8185CD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6161 ± 1323</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9AF4B7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3293 ± 933</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4EF3BF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0.0026</w:t>
            </w:r>
          </w:p>
        </w:tc>
      </w:tr>
      <w:tr w:rsidR="00580A30" w:rsidRPr="00C42BF6" w14:paraId="40218BB1"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2ACF14C" w14:textId="77777777" w:rsidR="277E52C9" w:rsidRPr="00C42BF6" w:rsidRDefault="277E52C9" w:rsidP="00E313B8">
            <w:pPr>
              <w:spacing w:after="0"/>
              <w:rPr>
                <w:rFonts w:ascii="Arial" w:eastAsia="Arial" w:hAnsi="Arial" w:cs="Arial"/>
                <w:color w:val="000000"/>
                <w:sz w:val="20"/>
                <w:szCs w:val="20"/>
              </w:rPr>
            </w:pPr>
            <w:proofErr w:type="spellStart"/>
            <w:r w:rsidRPr="00C42BF6">
              <w:rPr>
                <w:rFonts w:ascii="Arial" w:eastAsia="Arial" w:hAnsi="Arial" w:cs="Arial"/>
                <w:b/>
                <w:bCs/>
                <w:color w:val="000000"/>
                <w:sz w:val="20"/>
                <w:szCs w:val="20"/>
              </w:rPr>
              <w:t>Eotaxin</w:t>
            </w:r>
            <w:proofErr w:type="spellEnd"/>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FB1C4D3"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17347 ± 1028</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1D8D92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21228 ± 1425</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70F6271"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18823 ± 1168</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4406883"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20813 ± 1155</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5F62CC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0.1357</w:t>
            </w:r>
          </w:p>
        </w:tc>
      </w:tr>
      <w:tr w:rsidR="00580A30" w:rsidRPr="00C42BF6" w14:paraId="2C76E5A9"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1F8C942"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Eotaxin-2</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04DDF84"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1021 ± 109</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6848C1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1015 ± 187</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5FE3C1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926 ± 145</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5544F5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948 ± 134</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E74A8A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0.9647</w:t>
            </w:r>
          </w:p>
        </w:tc>
      </w:tr>
      <w:tr w:rsidR="00580A30" w:rsidRPr="00C42BF6" w14:paraId="201DB2FF"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85559D0" w14:textId="77777777" w:rsidR="277E52C9" w:rsidRPr="00C42BF6" w:rsidRDefault="277E52C9" w:rsidP="00E313B8">
            <w:pPr>
              <w:spacing w:after="0"/>
              <w:rPr>
                <w:rFonts w:ascii="Arial" w:eastAsia="Arial" w:hAnsi="Arial" w:cs="Arial"/>
                <w:color w:val="000000"/>
                <w:sz w:val="20"/>
                <w:szCs w:val="20"/>
              </w:rPr>
            </w:pPr>
            <w:proofErr w:type="spellStart"/>
            <w:r w:rsidRPr="00C42BF6">
              <w:rPr>
                <w:rFonts w:ascii="Arial" w:eastAsia="Arial" w:hAnsi="Arial" w:cs="Arial"/>
                <w:b/>
                <w:bCs/>
                <w:color w:val="000000"/>
                <w:sz w:val="20"/>
                <w:szCs w:val="20"/>
              </w:rPr>
              <w:t>Fas</w:t>
            </w:r>
            <w:proofErr w:type="spellEnd"/>
            <w:r w:rsidRPr="00C42BF6">
              <w:rPr>
                <w:rFonts w:ascii="Arial" w:eastAsia="Arial" w:hAnsi="Arial" w:cs="Arial"/>
                <w:b/>
                <w:bCs/>
                <w:color w:val="000000"/>
                <w:sz w:val="20"/>
                <w:szCs w:val="20"/>
              </w:rPr>
              <w:t xml:space="preserve"> L</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D635D1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286 ± 47</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7F76E6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469.3 ± 107</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A5476C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317 ± 57</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55EBEE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353 ± 75</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ECED712"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0.3857</w:t>
            </w:r>
          </w:p>
        </w:tc>
      </w:tr>
      <w:tr w:rsidR="00580A30" w:rsidRPr="00C42BF6" w14:paraId="52559A63"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E6891DE"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G-CSF</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CB0B215"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724.5 ± 112</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1ACD7E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2935 ± 711</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EE4622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2474 ± 503</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A96882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2142 ± 524</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BF2F2B4"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0.0527</w:t>
            </w:r>
          </w:p>
        </w:tc>
      </w:tr>
      <w:tr w:rsidR="00580A30" w:rsidRPr="00C42BF6" w14:paraId="4964CF01"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910AE3E"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GM-CSF</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FF9580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284 ± 34</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BB3577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421 ± 107</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A2F564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285 ± 37</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50DF122"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273 ± 33</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2E86B3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0.3199</w:t>
            </w:r>
          </w:p>
        </w:tc>
      </w:tr>
      <w:tr w:rsidR="00580A30" w:rsidRPr="00C42BF6" w14:paraId="4BB96E38"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B66268A"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ICAM-1</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8E1596B"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1181 ± 141</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8303D2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1273 ± 134</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DA7E95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1369 ± 150</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DAFDACB"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1190 ± 106</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E6960F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0.7492</w:t>
            </w:r>
          </w:p>
        </w:tc>
      </w:tr>
      <w:tr w:rsidR="00580A30" w:rsidRPr="00C42BF6" w14:paraId="0AD752B1"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3C644AB"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IFN-γ</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845244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463 ± 44</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F8E38B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877 ± 174</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E22E52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513 ± 49</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BBCE73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778 ± 152</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9004803"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0.0873</w:t>
            </w:r>
          </w:p>
        </w:tc>
      </w:tr>
      <w:tr w:rsidR="00580A30" w:rsidRPr="00C42BF6" w14:paraId="4FEB1480"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18BFB3D"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IL-1α</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23209B5"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1389 ± 170</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4AB4797"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1408 ± 107</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9E61AF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1221 ± 191</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BA6190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1572 ± 158</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E1BE9F4"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0.4625</w:t>
            </w:r>
          </w:p>
        </w:tc>
      </w:tr>
      <w:tr w:rsidR="00580A30" w:rsidRPr="00C42BF6" w14:paraId="792C636F"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87E4AB2"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IL-1β</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0043A1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126 ± 7</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D369E9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182 ± 24</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36ECCE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130 ± 9</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CB8008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177 ± 26</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9FA0F5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0.101</w:t>
            </w:r>
          </w:p>
        </w:tc>
      </w:tr>
      <w:tr w:rsidR="00580A30" w:rsidRPr="00C42BF6" w14:paraId="42FE6CB3"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6EF94CF"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IL-2</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02C89D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160 ± 16</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7B1B3C2"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304 ± 64</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749F677"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192 ± 19</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B80F6A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226 ± 29</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D83C3E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0.0764</w:t>
            </w:r>
          </w:p>
        </w:tc>
      </w:tr>
      <w:tr w:rsidR="00580A30" w:rsidRPr="00C42BF6" w14:paraId="6F9C14C6"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59CE07A"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IL-3</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E5C6CC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643 ± 85</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AC6F56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635 ± 100</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DC2213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654 ± 65</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B81849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548 ± 82</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2C94D02"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0.7979</w:t>
            </w:r>
          </w:p>
        </w:tc>
      </w:tr>
      <w:tr w:rsidR="00580A30" w:rsidRPr="00C42BF6" w14:paraId="773E2E13"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1D5E1F8"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IL-4</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54AD29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129 ± 7</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27EC3F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141 ± 14</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43119B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139 ± 18</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AB4A832"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113 ± 13</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FA565C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0.3993</w:t>
            </w:r>
          </w:p>
        </w:tc>
      </w:tr>
      <w:tr w:rsidR="00580A30" w:rsidRPr="00C42BF6" w14:paraId="5223A14C"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77A843E"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IL-5</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2300362"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197 ± 35</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6FE9DA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614 ± 150</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0F38583"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229 ± 30</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955A4A4"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984 ± 498</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59A0E4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0.2451</w:t>
            </w:r>
          </w:p>
        </w:tc>
      </w:tr>
      <w:tr w:rsidR="00580A30" w:rsidRPr="00C42BF6" w14:paraId="4A01A625"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BEFCE15"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IL-6</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9C1BD9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442 ± 83</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892378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1226 ± 339</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C68CD0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780 ± 75</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B8F1622"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655 ± 86</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B50E8D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0.0906</w:t>
            </w:r>
          </w:p>
        </w:tc>
      </w:tr>
      <w:tr w:rsidR="00580A30" w:rsidRPr="00C42BF6" w14:paraId="4314330E"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C4FC710"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IL-7</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B9480A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59 ± 16</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B19AB8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97 ± 19</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2D6B18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162 ± 34</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165BDE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131 ± 22</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732CDF7"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0.0279</w:t>
            </w:r>
          </w:p>
        </w:tc>
      </w:tr>
      <w:tr w:rsidR="00580A30" w:rsidRPr="00C42BF6" w14:paraId="57ECFF33"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8F76E02"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IL-10</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7443F55"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114 ± 12</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03E7C6B"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178 ± 19</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837D4D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116 ± 18</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0EDDA6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176 ± 24</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FE0A37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0.0435</w:t>
            </w:r>
          </w:p>
        </w:tc>
      </w:tr>
      <w:tr w:rsidR="00580A30" w:rsidRPr="00C42BF6" w14:paraId="650DC21B"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A072CFB"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IL-12p40</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05570C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124 ± 19</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8D442B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130 ± 23</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210E1D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92 ± 21</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CB5C4A3"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130 ± 34</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44563A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0.7069</w:t>
            </w:r>
          </w:p>
        </w:tc>
      </w:tr>
      <w:tr w:rsidR="00580A30" w:rsidRPr="00C42BF6" w14:paraId="3636E74F"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BDC72FA"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IL-13</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333D39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168 ± 14</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649EC0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262 ± 58</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CEF9E2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168 ± 16</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F933C6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185 ± 22</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E81D78B"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0.181</w:t>
            </w:r>
          </w:p>
        </w:tc>
      </w:tr>
      <w:tr w:rsidR="00580A30" w:rsidRPr="00C42BF6" w14:paraId="74AF4411"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354862E"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IL-15</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CAC93A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203 ± 16</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3A9AB7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433 ± 107</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F23AB61"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234 ± 23</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672761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167 ± 17</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0291FA1"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0.0236</w:t>
            </w:r>
          </w:p>
        </w:tc>
      </w:tr>
      <w:tr w:rsidR="00580A30" w:rsidRPr="00C42BF6" w14:paraId="3D0B6DE4"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2D345A1"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IL-17</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E22D1E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359 ± 70</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8DC8A42"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660 ± 190</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FB0B4A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426 ± 78</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90F711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335 ± 35</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07253F4"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0.1995</w:t>
            </w:r>
          </w:p>
        </w:tc>
      </w:tr>
      <w:tr w:rsidR="00580A30" w:rsidRPr="00C42BF6" w14:paraId="63F10B13"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A838AC8"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IL-21</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37026D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1150 ± 76</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08F26FB"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1140 ± 112</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ED71DF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1226 ± 70</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DA62C3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1135 ± 75</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AFBAB8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0.8696</w:t>
            </w:r>
          </w:p>
        </w:tc>
      </w:tr>
      <w:tr w:rsidR="00580A30" w:rsidRPr="00C42BF6" w14:paraId="67832818"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142C35A"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KC</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94D194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179 ± 38</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DD0955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485 ± 117</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5FEC3F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301 ± 40</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9B0908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205 ± 40</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5A574E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0.0211</w:t>
            </w:r>
          </w:p>
        </w:tc>
      </w:tr>
      <w:tr w:rsidR="00580A30" w:rsidRPr="00C42BF6" w14:paraId="4667FF71"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DA620EC"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Leptin</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949CF68"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560 ± 122</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FA6A22B"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197 ± 58</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6A8403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121 ± 21</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FB4235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127 ± 28</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CBDBF7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&lt;0.0001</w:t>
            </w:r>
          </w:p>
        </w:tc>
      </w:tr>
      <w:tr w:rsidR="00580A30" w:rsidRPr="00C42BF6" w14:paraId="3708E36E"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EBF7495"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LIX</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1E84C8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215 ± 29</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7CB9235"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224 ± 32</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7B4CE94"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150 ± 9</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E65B6A5"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261 ± 26</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F1C983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0.0858</w:t>
            </w:r>
          </w:p>
        </w:tc>
      </w:tr>
      <w:tr w:rsidR="00580A30" w:rsidRPr="00C42BF6" w14:paraId="16480A3F"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B09BE43"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MCP-5</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FD4FF3B"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362 ± 59</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5950740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891 ± 195</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E809C57"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757 ± 185</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6FAA75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629 ± 136</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8F2D0F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0.1624</w:t>
            </w:r>
          </w:p>
        </w:tc>
      </w:tr>
      <w:tr w:rsidR="00580A30" w:rsidRPr="00C42BF6" w14:paraId="72CF26E6"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4BDDD70"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M-CSF</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2E5079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96 ± 16</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7625B3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94 ± 24</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35241D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79 ± 26</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5B5C94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96 ± 16</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9F7644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0.9368</w:t>
            </w:r>
          </w:p>
        </w:tc>
      </w:tr>
      <w:tr w:rsidR="00580A30" w:rsidRPr="00C42BF6" w14:paraId="0CDFB0AC"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014325B"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MIG</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1DC76A4"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98 ± 35</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1C06A83"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150 ± 42</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DC3040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181 ± 37</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D7E2B4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194 ± 39</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C4E249E"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0.3129</w:t>
            </w:r>
          </w:p>
        </w:tc>
      </w:tr>
      <w:tr w:rsidR="00580A30" w:rsidRPr="00C42BF6" w14:paraId="2347AC93"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C895FEB"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MIP-1γ</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D31A55F"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30547 ± 1499</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4A1EFAD"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30284 ± 2797</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374823C"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29508 ± 2568</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7B50F16"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30917 ± 1746</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810B049"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0.9781</w:t>
            </w:r>
          </w:p>
        </w:tc>
      </w:tr>
      <w:tr w:rsidR="00580A30" w:rsidRPr="00C42BF6" w14:paraId="5810911A"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FB444E5" w14:textId="77777777" w:rsidR="277E52C9" w:rsidRPr="00C42BF6" w:rsidRDefault="277E52C9"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PF-4</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1C3AF3B"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24177 ± 1798</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B261A17"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23788 ± 1541</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FC3ABEA"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25342 ± 1870</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0A6F565"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24331 ± 1435</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020DED0" w14:textId="77777777" w:rsidR="277E52C9" w:rsidRPr="00C42BF6" w:rsidRDefault="277E52C9"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0.9247</w:t>
            </w:r>
          </w:p>
        </w:tc>
      </w:tr>
      <w:tr w:rsidR="00580A30" w:rsidRPr="00C42BF6" w14:paraId="03813E0D"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E9B6D7D" w14:textId="77777777" w:rsidR="00E313B8" w:rsidRPr="00C42BF6" w:rsidRDefault="00E313B8" w:rsidP="00E313B8">
            <w:pPr>
              <w:spacing w:after="0"/>
              <w:rPr>
                <w:rFonts w:ascii="Arial" w:eastAsia="Arial" w:hAnsi="Arial" w:cs="Arial"/>
                <w:b/>
                <w:bCs/>
                <w:color w:val="000000"/>
                <w:sz w:val="20"/>
                <w:szCs w:val="20"/>
              </w:rPr>
            </w:pPr>
            <w:r w:rsidRPr="00C42BF6">
              <w:rPr>
                <w:rFonts w:ascii="Arial" w:eastAsia="Arial" w:hAnsi="Arial" w:cs="Arial"/>
                <w:b/>
                <w:bCs/>
                <w:color w:val="000000"/>
                <w:sz w:val="20"/>
                <w:szCs w:val="20"/>
              </w:rPr>
              <w:t>RANTES</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BC3FC1E"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356 ± 42</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8AC1571"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1204 ± 438</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CBF6458"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689 ± 246</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5796B13"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805 ± 209</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E0D68FC"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0.2457</w:t>
            </w:r>
          </w:p>
        </w:tc>
      </w:tr>
      <w:tr w:rsidR="00580A30" w:rsidRPr="00C42BF6" w14:paraId="0BBE3EAF"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0363C89" w14:textId="77777777" w:rsidR="00E313B8" w:rsidRPr="00C42BF6" w:rsidRDefault="00E313B8"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lastRenderedPageBreak/>
              <w:t>TCA-3</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BBD1602"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513 ± 101</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0021414"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388 ± 43</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AC93CCD"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343 ± 13</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52E4FED"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468 ± 65</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CBD0D91"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0.2489</w:t>
            </w:r>
          </w:p>
        </w:tc>
      </w:tr>
      <w:tr w:rsidR="00580A30" w:rsidRPr="00C42BF6" w14:paraId="62588675"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C776C3C" w14:textId="77777777" w:rsidR="00E313B8" w:rsidRPr="00C42BF6" w:rsidRDefault="00E313B8"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TNF RI</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C7FF72A"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30339 ± 1735</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439D708"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29477 ± 2884</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9FB2066"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38131 ± 2981</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216E8BC"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37378 ± 3000</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3EB3B8E"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0.0656</w:t>
            </w:r>
          </w:p>
        </w:tc>
      </w:tr>
      <w:tr w:rsidR="00580A30" w:rsidRPr="00C42BF6" w14:paraId="6C20D292"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92B2877" w14:textId="77777777" w:rsidR="00E313B8" w:rsidRPr="00C42BF6" w:rsidRDefault="00E313B8" w:rsidP="00E313B8">
            <w:pPr>
              <w:spacing w:after="0"/>
              <w:rPr>
                <w:rFonts w:ascii="Arial" w:eastAsia="Arial" w:hAnsi="Arial" w:cs="Arial"/>
                <w:color w:val="000000"/>
                <w:sz w:val="20"/>
                <w:szCs w:val="20"/>
              </w:rPr>
            </w:pPr>
            <w:r w:rsidRPr="00C42BF6">
              <w:rPr>
                <w:rFonts w:ascii="Arial" w:eastAsia="Arial" w:hAnsi="Arial" w:cs="Arial"/>
                <w:b/>
                <w:bCs/>
                <w:color w:val="000000"/>
                <w:sz w:val="20"/>
                <w:szCs w:val="20"/>
              </w:rPr>
              <w:t>TNF RII</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07BC6800"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11776 ± 989</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61EE8AC2"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13187 ± 795</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74E2E9D"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 17383 ± 2126</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D5EF35C"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15801 ± 923</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2EAADE59"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b/>
                <w:bCs/>
                <w:color w:val="000000"/>
                <w:sz w:val="20"/>
                <w:szCs w:val="20"/>
              </w:rPr>
              <w:t>0.0183</w:t>
            </w:r>
          </w:p>
        </w:tc>
      </w:tr>
      <w:tr w:rsidR="00580A30" w:rsidRPr="00C42BF6" w14:paraId="012E0CEE" w14:textId="77777777" w:rsidTr="00C42BF6">
        <w:trPr>
          <w:trHeight w:val="144"/>
        </w:trPr>
        <w:tc>
          <w:tcPr>
            <w:tcW w:w="145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23B2DDD" w14:textId="77777777" w:rsidR="00E313B8" w:rsidRPr="00C42BF6" w:rsidRDefault="00E313B8" w:rsidP="00E313B8">
            <w:pPr>
              <w:spacing w:after="0"/>
              <w:jc w:val="both"/>
              <w:rPr>
                <w:rFonts w:ascii="Arial" w:eastAsia="Arial" w:hAnsi="Arial" w:cs="Arial"/>
                <w:color w:val="000000"/>
                <w:sz w:val="20"/>
                <w:szCs w:val="20"/>
              </w:rPr>
            </w:pPr>
            <w:r w:rsidRPr="00C42BF6">
              <w:rPr>
                <w:rFonts w:ascii="Arial" w:eastAsia="Arial" w:hAnsi="Arial" w:cs="Arial"/>
                <w:b/>
                <w:bCs/>
                <w:color w:val="000000"/>
                <w:sz w:val="20"/>
                <w:szCs w:val="20"/>
              </w:rPr>
              <w:t>TNFα</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735B56D1"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236 ± 22</w:t>
            </w:r>
          </w:p>
        </w:tc>
        <w:tc>
          <w:tcPr>
            <w:tcW w:w="148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21E8079"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310 ± 56</w:t>
            </w:r>
          </w:p>
        </w:tc>
        <w:tc>
          <w:tcPr>
            <w:tcW w:w="1575"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37334ED7"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258 ± 35</w:t>
            </w:r>
          </w:p>
        </w:tc>
        <w:tc>
          <w:tcPr>
            <w:tcW w:w="147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46646060"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318 ± 53</w:t>
            </w:r>
          </w:p>
        </w:tc>
        <w:tc>
          <w:tcPr>
            <w:tcW w:w="1830" w:type="dxa"/>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vAlign w:val="bottom"/>
          </w:tcPr>
          <w:p w14:paraId="13D22DA7" w14:textId="77777777" w:rsidR="00E313B8" w:rsidRPr="00C42BF6" w:rsidRDefault="00E313B8" w:rsidP="00E313B8">
            <w:pPr>
              <w:spacing w:after="0"/>
              <w:jc w:val="center"/>
              <w:rPr>
                <w:rFonts w:ascii="Arial" w:eastAsia="Arial" w:hAnsi="Arial" w:cs="Arial"/>
                <w:color w:val="000000"/>
                <w:sz w:val="20"/>
                <w:szCs w:val="20"/>
              </w:rPr>
            </w:pPr>
            <w:r w:rsidRPr="00C42BF6">
              <w:rPr>
                <w:rFonts w:ascii="Arial" w:eastAsia="Arial" w:hAnsi="Arial" w:cs="Arial"/>
                <w:color w:val="000000"/>
                <w:sz w:val="20"/>
                <w:szCs w:val="20"/>
              </w:rPr>
              <w:t>0.5912</w:t>
            </w:r>
          </w:p>
        </w:tc>
      </w:tr>
      <w:tr w:rsidR="00E313B8" w:rsidRPr="00C42BF6" w14:paraId="07EA9101" w14:textId="77777777" w:rsidTr="00C42BF6">
        <w:trPr>
          <w:trHeight w:val="2415"/>
        </w:trPr>
        <w:tc>
          <w:tcPr>
            <w:tcW w:w="9285" w:type="dxa"/>
            <w:gridSpan w:val="6"/>
            <w:tcBorders>
              <w:top w:val="single" w:sz="6" w:space="0" w:color="000000"/>
              <w:left w:val="single" w:sz="6" w:space="0" w:color="000000"/>
              <w:bottom w:val="single" w:sz="6" w:space="0" w:color="000000"/>
              <w:right w:val="single" w:sz="6" w:space="0" w:color="000000"/>
            </w:tcBorders>
            <w:tcMar>
              <w:top w:w="15" w:type="dxa"/>
              <w:left w:w="15" w:type="dxa"/>
              <w:bottom w:w="90" w:type="dxa"/>
              <w:right w:w="15" w:type="dxa"/>
            </w:tcMar>
          </w:tcPr>
          <w:p w14:paraId="5EB2AED9" w14:textId="67371B55" w:rsidR="00E313B8" w:rsidRPr="00C42BF6" w:rsidRDefault="00E313B8" w:rsidP="00E313B8">
            <w:pPr>
              <w:spacing w:after="0"/>
              <w:jc w:val="both"/>
              <w:rPr>
                <w:rFonts w:ascii="Arial" w:eastAsia="Arial" w:hAnsi="Arial" w:cs="Arial"/>
                <w:color w:val="000000"/>
                <w:sz w:val="20"/>
                <w:szCs w:val="20"/>
              </w:rPr>
            </w:pPr>
            <w:r w:rsidRPr="00C42BF6">
              <w:rPr>
                <w:rFonts w:ascii="Arial" w:eastAsia="Arial" w:hAnsi="Arial" w:cs="Arial"/>
                <w:color w:val="000000"/>
                <w:sz w:val="20"/>
                <w:szCs w:val="20"/>
              </w:rPr>
              <w:t xml:space="preserve">Data are mean ± SEM and are expressed as A.U. of intensity relative to an internal positive control. Plasma was analyzed by cytokine array. n = 9-13/group. Statistics are one-way ANOVA with </w:t>
            </w:r>
            <w:proofErr w:type="spellStart"/>
            <w:r w:rsidRPr="00C42BF6">
              <w:rPr>
                <w:rFonts w:ascii="Arial" w:eastAsia="Arial" w:hAnsi="Arial" w:cs="Arial"/>
                <w:color w:val="000000"/>
                <w:sz w:val="20"/>
                <w:szCs w:val="20"/>
              </w:rPr>
              <w:t>Šídák’s</w:t>
            </w:r>
            <w:proofErr w:type="spellEnd"/>
            <w:r w:rsidRPr="00C42BF6">
              <w:rPr>
                <w:rFonts w:ascii="Arial" w:eastAsia="Arial" w:hAnsi="Arial" w:cs="Arial"/>
                <w:color w:val="000000"/>
                <w:sz w:val="20"/>
                <w:szCs w:val="20"/>
              </w:rPr>
              <w:t xml:space="preserve"> multiple comparison's test</w:t>
            </w:r>
            <w:r w:rsidR="00C635F7">
              <w:rPr>
                <w:rFonts w:ascii="Arial" w:eastAsia="Arial" w:hAnsi="Arial" w:cs="Arial"/>
                <w:color w:val="000000"/>
                <w:sz w:val="20"/>
                <w:szCs w:val="20"/>
              </w:rPr>
              <w:t xml:space="preserve"> </w:t>
            </w:r>
            <w:r w:rsidR="00C635F7" w:rsidRPr="00C635F7">
              <w:rPr>
                <w:rFonts w:ascii="Arial" w:eastAsia="Arial" w:hAnsi="Arial" w:cs="Arial"/>
                <w:color w:val="000000"/>
                <w:sz w:val="20"/>
                <w:szCs w:val="20"/>
              </w:rPr>
              <w:t>when a significant main effect was observed</w:t>
            </w:r>
            <w:r w:rsidRPr="00C42BF6">
              <w:rPr>
                <w:rFonts w:ascii="Arial" w:eastAsia="Arial" w:hAnsi="Arial" w:cs="Arial"/>
                <w:color w:val="000000"/>
                <w:sz w:val="20"/>
                <w:szCs w:val="20"/>
              </w:rPr>
              <w:t xml:space="preserve">. *P&lt;0.05 vs. YC, †P&lt;0.05 vs. control within old mice. Abbreviations: Y, young; O, old; C, control; A, acetate-supplemented; F, high-fiber diet fed; </w:t>
            </w:r>
            <w:proofErr w:type="spellStart"/>
            <w:r w:rsidRPr="00C42BF6">
              <w:rPr>
                <w:rFonts w:ascii="Arial" w:eastAsia="Arial" w:hAnsi="Arial" w:cs="Arial"/>
                <w:color w:val="000000"/>
                <w:sz w:val="20"/>
                <w:szCs w:val="20"/>
              </w:rPr>
              <w:t>bFGF</w:t>
            </w:r>
            <w:proofErr w:type="spellEnd"/>
            <w:r w:rsidRPr="00C42BF6">
              <w:rPr>
                <w:rFonts w:ascii="Arial" w:eastAsia="Arial" w:hAnsi="Arial" w:cs="Arial"/>
                <w:color w:val="000000"/>
                <w:sz w:val="20"/>
                <w:szCs w:val="20"/>
              </w:rPr>
              <w:t xml:space="preserve">, basic fibroblast growth factor; BLC, B lymphocyte chemoattractant; </w:t>
            </w:r>
            <w:proofErr w:type="spellStart"/>
            <w:r w:rsidRPr="00C42BF6">
              <w:rPr>
                <w:rFonts w:ascii="Arial" w:eastAsia="Arial" w:hAnsi="Arial" w:cs="Arial"/>
                <w:color w:val="000000"/>
                <w:sz w:val="20"/>
                <w:szCs w:val="20"/>
              </w:rPr>
              <w:t>Fas</w:t>
            </w:r>
            <w:proofErr w:type="spellEnd"/>
            <w:r w:rsidRPr="00C42BF6">
              <w:rPr>
                <w:rFonts w:ascii="Arial" w:eastAsia="Arial" w:hAnsi="Arial" w:cs="Arial"/>
                <w:color w:val="000000"/>
                <w:sz w:val="20"/>
                <w:szCs w:val="20"/>
              </w:rPr>
              <w:t xml:space="preserve"> L, </w:t>
            </w:r>
            <w:proofErr w:type="spellStart"/>
            <w:r w:rsidRPr="00C42BF6">
              <w:rPr>
                <w:rFonts w:ascii="Arial" w:eastAsia="Arial" w:hAnsi="Arial" w:cs="Arial"/>
                <w:color w:val="000000"/>
                <w:sz w:val="20"/>
                <w:szCs w:val="20"/>
              </w:rPr>
              <w:t>Fas</w:t>
            </w:r>
            <w:proofErr w:type="spellEnd"/>
            <w:r w:rsidRPr="00C42BF6">
              <w:rPr>
                <w:rFonts w:ascii="Arial" w:eastAsia="Arial" w:hAnsi="Arial" w:cs="Arial"/>
                <w:color w:val="000000"/>
                <w:sz w:val="20"/>
                <w:szCs w:val="20"/>
              </w:rPr>
              <w:t xml:space="preserve"> ligand; G-CSF, granulocyte-colony stimulating factor; GM-CSF, granulocyte-macrophage colony-stimulating factor; ICAM-1, intercellular adhesion molecule 1; IFN-γ, interferon gamma; IL-, interleukin-; KC, keratinocyte chemoattractant; LIX, lipopolysaccharide-induced CXC chemokine; MCP-5, monocyte chemoattractant protein-5; M-CSF, macrophage colony-stimulating factor; MIG, </w:t>
            </w:r>
            <w:proofErr w:type="spellStart"/>
            <w:r w:rsidRPr="00C42BF6">
              <w:rPr>
                <w:rFonts w:ascii="Arial" w:eastAsia="Arial" w:hAnsi="Arial" w:cs="Arial"/>
                <w:color w:val="000000"/>
                <w:sz w:val="20"/>
                <w:szCs w:val="20"/>
              </w:rPr>
              <w:t>monokine</w:t>
            </w:r>
            <w:proofErr w:type="spellEnd"/>
            <w:r w:rsidRPr="00C42BF6">
              <w:rPr>
                <w:rFonts w:ascii="Arial" w:eastAsia="Arial" w:hAnsi="Arial" w:cs="Arial"/>
                <w:color w:val="000000"/>
                <w:sz w:val="20"/>
                <w:szCs w:val="20"/>
              </w:rPr>
              <w:t xml:space="preserve"> induced by γ; MIP-1γ macrophage inflammatory protein-1γ; PF-4, platelet factor 4; RANTES, regulated upon activation, normal T cell expressed and presumably secreted; TCA-3, T cell activation gene 3; TNF R, tumor necrosis factor receptor. </w:t>
            </w:r>
          </w:p>
        </w:tc>
      </w:tr>
    </w:tbl>
    <w:p w14:paraId="4CC98DF5" w14:textId="77777777" w:rsidR="277E52C9" w:rsidRPr="00C42BF6" w:rsidRDefault="277E52C9" w:rsidP="277E52C9">
      <w:pPr>
        <w:rPr>
          <w:rFonts w:ascii="Arial" w:hAnsi="Arial" w:cs="Arial"/>
          <w:color w:val="000000"/>
        </w:rPr>
      </w:pPr>
    </w:p>
    <w:p w14:paraId="6B57CB7D" w14:textId="77777777" w:rsidR="008D5020" w:rsidRPr="00C42BF6" w:rsidRDefault="277E52C9">
      <w:pPr>
        <w:rPr>
          <w:rFonts w:ascii="Arial" w:hAnsi="Arial" w:cs="Arial"/>
          <w:color w:val="000000"/>
        </w:rPr>
      </w:pPr>
      <w:r w:rsidRPr="00C42BF6">
        <w:rPr>
          <w:rFonts w:ascii="Arial" w:hAnsi="Arial" w:cs="Arial"/>
          <w:color w:val="000000"/>
        </w:rPr>
        <w:br w:type="page"/>
      </w:r>
    </w:p>
    <w:p w14:paraId="2226724C" w14:textId="77777777" w:rsidR="277E52C9" w:rsidRPr="00E010E0" w:rsidRDefault="008D5020" w:rsidP="00F54C8D">
      <w:pPr>
        <w:rPr>
          <w:rFonts w:ascii="Arial" w:hAnsi="Arial" w:cs="Arial"/>
          <w:b/>
          <w:bCs/>
          <w:color w:val="000000"/>
          <w:sz w:val="24"/>
          <w:szCs w:val="24"/>
        </w:rPr>
      </w:pPr>
      <w:r w:rsidRPr="00E010E0">
        <w:rPr>
          <w:rFonts w:ascii="Arial" w:hAnsi="Arial" w:cs="Arial"/>
          <w:b/>
          <w:bCs/>
          <w:color w:val="000000"/>
          <w:sz w:val="24"/>
          <w:szCs w:val="24"/>
        </w:rPr>
        <w:lastRenderedPageBreak/>
        <w:t>SUPPLEMENTAL REFERENCES</w:t>
      </w:r>
    </w:p>
    <w:p w14:paraId="0740C69F" w14:textId="77777777" w:rsidR="00F80CF1" w:rsidRPr="00F80CF1" w:rsidRDefault="007F286F" w:rsidP="00F80CF1">
      <w:pPr>
        <w:pStyle w:val="Bibliography"/>
        <w:rPr>
          <w:rFonts w:ascii="Arial" w:hAnsi="Arial" w:cs="Arial"/>
          <w:sz w:val="24"/>
        </w:rPr>
      </w:pPr>
      <w:r w:rsidRPr="00E010E0">
        <w:rPr>
          <w:rFonts w:ascii="Arial" w:eastAsia="Arial" w:hAnsi="Arial" w:cs="Arial"/>
          <w:b/>
          <w:bCs/>
          <w:color w:val="000000"/>
          <w:sz w:val="24"/>
          <w:szCs w:val="24"/>
        </w:rPr>
        <w:fldChar w:fldCharType="begin"/>
      </w:r>
      <w:r w:rsidR="00F80CF1">
        <w:rPr>
          <w:rFonts w:ascii="Arial" w:eastAsia="Arial" w:hAnsi="Arial" w:cs="Arial"/>
          <w:b/>
          <w:bCs/>
          <w:color w:val="000000"/>
          <w:sz w:val="24"/>
          <w:szCs w:val="24"/>
        </w:rPr>
        <w:instrText xml:space="preserve"> ADDIN ZOTERO_BIBL {"uncited":[],"omitted":[],"custom":[]} CSL_BIBLIOGRAPHY </w:instrText>
      </w:r>
      <w:r w:rsidRPr="00E010E0">
        <w:rPr>
          <w:rFonts w:ascii="Arial" w:eastAsia="Arial" w:hAnsi="Arial" w:cs="Arial"/>
          <w:b/>
          <w:bCs/>
          <w:color w:val="000000"/>
          <w:sz w:val="24"/>
          <w:szCs w:val="24"/>
        </w:rPr>
        <w:fldChar w:fldCharType="separate"/>
      </w:r>
      <w:r w:rsidR="00F80CF1" w:rsidRPr="00F80CF1">
        <w:rPr>
          <w:rFonts w:ascii="Arial" w:hAnsi="Arial" w:cs="Arial"/>
          <w:sz w:val="24"/>
        </w:rPr>
        <w:t xml:space="preserve">1. </w:t>
      </w:r>
      <w:r w:rsidR="00F80CF1" w:rsidRPr="00F80CF1">
        <w:rPr>
          <w:rFonts w:ascii="Arial" w:hAnsi="Arial" w:cs="Arial"/>
          <w:sz w:val="24"/>
        </w:rPr>
        <w:tab/>
        <w:t xml:space="preserve">Shaffer JP, Marotz C, Belda-Ferre P, Martino C, Wandro S, Estaki M, Salido RA, Carpenter CS, Zaramela LS, Minich JJ, Bryant M, Sanders K, Fraraccio S, Ackermann G, Humphrey G, Swafford AD, Miller-Montgomery S, Knight R. A comparison of DNA/RNA extraction protocols for high-throughput sequencing of microbial communities. </w:t>
      </w:r>
      <w:r w:rsidR="00F80CF1" w:rsidRPr="00F80CF1">
        <w:rPr>
          <w:rFonts w:ascii="Arial" w:hAnsi="Arial" w:cs="Arial"/>
          <w:i/>
          <w:iCs/>
          <w:sz w:val="24"/>
        </w:rPr>
        <w:t>Biotechniques</w:t>
      </w:r>
      <w:r w:rsidR="00F80CF1" w:rsidRPr="00F80CF1">
        <w:rPr>
          <w:rFonts w:ascii="Arial" w:hAnsi="Arial" w:cs="Arial"/>
          <w:sz w:val="24"/>
        </w:rPr>
        <w:t xml:space="preserve">. 2021;70:149–159. </w:t>
      </w:r>
    </w:p>
    <w:p w14:paraId="5B10653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 </w:t>
      </w:r>
      <w:r w:rsidRPr="00F80CF1">
        <w:rPr>
          <w:rFonts w:ascii="Arial" w:hAnsi="Arial" w:cs="Arial"/>
          <w:sz w:val="24"/>
        </w:rPr>
        <w:tab/>
        <w:t xml:space="preserve">Marotz C, Amir A, Humphrey G, Gaffney J, Gogul G, Knight R. DNA extraction for streamlined metagenomics of diverse environmental samples. </w:t>
      </w:r>
      <w:r w:rsidRPr="00F80CF1">
        <w:rPr>
          <w:rFonts w:ascii="Arial" w:hAnsi="Arial" w:cs="Arial"/>
          <w:i/>
          <w:iCs/>
          <w:sz w:val="24"/>
        </w:rPr>
        <w:t>Biotechniques</w:t>
      </w:r>
      <w:r w:rsidRPr="00F80CF1">
        <w:rPr>
          <w:rFonts w:ascii="Arial" w:hAnsi="Arial" w:cs="Arial"/>
          <w:sz w:val="24"/>
        </w:rPr>
        <w:t xml:space="preserve">. 2017;62:290–293. </w:t>
      </w:r>
    </w:p>
    <w:p w14:paraId="1F07528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 </w:t>
      </w:r>
      <w:r w:rsidRPr="00F80CF1">
        <w:rPr>
          <w:rFonts w:ascii="Arial" w:hAnsi="Arial" w:cs="Arial"/>
          <w:sz w:val="24"/>
        </w:rPr>
        <w:tab/>
        <w:t xml:space="preserve">Sanders JG, Nurk S, Salido RA, Minich J, Xu ZZ, Zhu Q, Martino C, Fedarko M, Arthur TD, Chen F, Boland BS, Humphrey GC, Brennan C, Sanders K, Gaffney J, Jepsen K, Khosroheidari M, Green C, Liyanage M, Dang JW, Phelan VV, Quinn RA, Bankevich A, Chang JT, Rana TM, Conrad DJ, Sandborn WJ, Smarr L, Dorrestein PC, Pevzner PA, Knight R. Optimizing sequencing protocols for leaderboard metagenomics by combining long and short reads. </w:t>
      </w:r>
      <w:r w:rsidRPr="00F80CF1">
        <w:rPr>
          <w:rFonts w:ascii="Arial" w:hAnsi="Arial" w:cs="Arial"/>
          <w:i/>
          <w:iCs/>
          <w:sz w:val="24"/>
        </w:rPr>
        <w:t>Genome Biol</w:t>
      </w:r>
      <w:r w:rsidRPr="00F80CF1">
        <w:rPr>
          <w:rFonts w:ascii="Arial" w:hAnsi="Arial" w:cs="Arial"/>
          <w:sz w:val="24"/>
        </w:rPr>
        <w:t xml:space="preserve">. 2019;20:226. </w:t>
      </w:r>
    </w:p>
    <w:p w14:paraId="76F51E2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 </w:t>
      </w:r>
      <w:r w:rsidRPr="00F80CF1">
        <w:rPr>
          <w:rFonts w:ascii="Arial" w:hAnsi="Arial" w:cs="Arial"/>
          <w:sz w:val="24"/>
        </w:rPr>
        <w:tab/>
        <w:t xml:space="preserve">Brennan C, Salido RA, Belda-Ferre P, Bryant M, Cowart C, Tiu MD, González A, McDonald D, Tribelhorn C, Zarrinpar A, Knight R. Maximizing the potential of high-throughput next-generation sequencing through precise normalization based on read count distribution. </w:t>
      </w:r>
      <w:r w:rsidRPr="00F80CF1">
        <w:rPr>
          <w:rFonts w:ascii="Arial" w:hAnsi="Arial" w:cs="Arial"/>
          <w:i/>
          <w:iCs/>
          <w:sz w:val="24"/>
        </w:rPr>
        <w:t>mSystems</w:t>
      </w:r>
      <w:r w:rsidRPr="00F80CF1">
        <w:rPr>
          <w:rFonts w:ascii="Arial" w:hAnsi="Arial" w:cs="Arial"/>
          <w:sz w:val="24"/>
        </w:rPr>
        <w:t xml:space="preserve">. 2023;8:e0000623. </w:t>
      </w:r>
    </w:p>
    <w:p w14:paraId="3493226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 </w:t>
      </w:r>
      <w:r w:rsidRPr="00F80CF1">
        <w:rPr>
          <w:rFonts w:ascii="Arial" w:hAnsi="Arial" w:cs="Arial"/>
          <w:sz w:val="24"/>
        </w:rPr>
        <w:tab/>
        <w:t xml:space="preserve">Gonzalez A, Navas-Molina JA, Kosciolek T, McDonald D, Vázquez-Baeza Y, Ackermann G, DeReus J, Janssen S, Swafford AD, Orchanian SB, Sanders JG, Shorenstein J, Holste H, Petrus S, Robbins-Pianka A, Brislawn CJ, Wang M, Rideout JR, Bolyen E, Dillon M, Caporaso JG, Dorrestein PC, Knight R. Qiita: rapid, web-enabled microbiome meta-analysis. </w:t>
      </w:r>
      <w:r w:rsidRPr="00F80CF1">
        <w:rPr>
          <w:rFonts w:ascii="Arial" w:hAnsi="Arial" w:cs="Arial"/>
          <w:i/>
          <w:iCs/>
          <w:sz w:val="24"/>
        </w:rPr>
        <w:t>Nat Methods</w:t>
      </w:r>
      <w:r w:rsidRPr="00F80CF1">
        <w:rPr>
          <w:rFonts w:ascii="Arial" w:hAnsi="Arial" w:cs="Arial"/>
          <w:sz w:val="24"/>
        </w:rPr>
        <w:t xml:space="preserve">. 2018;15:796–798. </w:t>
      </w:r>
    </w:p>
    <w:p w14:paraId="0B9B878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 </w:t>
      </w:r>
      <w:r w:rsidRPr="00F80CF1">
        <w:rPr>
          <w:rFonts w:ascii="Arial" w:hAnsi="Arial" w:cs="Arial"/>
          <w:sz w:val="24"/>
        </w:rPr>
        <w:tab/>
        <w:t xml:space="preserve">Caporaso JG, Kuczynski J, Stombaugh J, Bittinger K, Bushman FD, Costello EK, Fierer N, Peña AG, Goodrich JK, Gordon JI, Huttley GA, Kelley ST, Knights D, Koenig JE, Ley RE, Lozupone CA, McDonald D, Muegge BD, Pirrung M, Reeder J, Sevinsky JR, Turnbaugh PJ, Walters WA, Widmann J, Yatsunenko T, Zaneveld J, Knight R. QIIME allows analysis of high-throughput community sequencing data. </w:t>
      </w:r>
      <w:r w:rsidRPr="00F80CF1">
        <w:rPr>
          <w:rFonts w:ascii="Arial" w:hAnsi="Arial" w:cs="Arial"/>
          <w:i/>
          <w:iCs/>
          <w:sz w:val="24"/>
        </w:rPr>
        <w:t>Nat Methods</w:t>
      </w:r>
      <w:r w:rsidRPr="00F80CF1">
        <w:rPr>
          <w:rFonts w:ascii="Arial" w:hAnsi="Arial" w:cs="Arial"/>
          <w:sz w:val="24"/>
        </w:rPr>
        <w:t xml:space="preserve">. 2010;7:335–336. </w:t>
      </w:r>
    </w:p>
    <w:p w14:paraId="68AB5C7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 </w:t>
      </w:r>
      <w:r w:rsidRPr="00F80CF1">
        <w:rPr>
          <w:rFonts w:ascii="Arial" w:hAnsi="Arial" w:cs="Arial"/>
          <w:sz w:val="24"/>
        </w:rPr>
        <w:tab/>
        <w:t xml:space="preserve">Bolyen E, Rideout JR, Dillon MR, Bokulich NA, Abnet CC, Al-Ghalith GA, Alexander H, Alm EJ, Arumugam M, Asnicar F, Bai Y, Bisanz JE, Bittinger K, Brejnrod A, Brislawn CJ, Brown CT, Callahan BJ, Caraballo-Rodríguez AM, Chase J, Cope EK, Da Silva R, Diener C, Dorrestein PC, Douglas GM, Durall DM, Duvallet C, Edwardson CF, Ernst M, Estaki M, Fouquier J, Gauglitz JM, Gibbons SM, Gibson DL, Gonzalez A, Gorlick K, Guo J, Hillmann B, Holmes S, Holste H, Huttenhower C, Huttley GA, Janssen S, Jarmusch AK, Jiang L, Kaehler BD, Kang KB, Keefe CR, Keim P, Kelley ST, Knights D, Koester I, Kosciolek T, Kreps J, Langille MGI, Lee J, Ley R, Liu Y-X, Loftfield E, Lozupone C, Maher M, Marotz C, Martin BD, McDonald D, McIver LJ, Melnik AV, </w:t>
      </w:r>
      <w:r w:rsidRPr="00F80CF1">
        <w:rPr>
          <w:rFonts w:ascii="Arial" w:hAnsi="Arial" w:cs="Arial"/>
          <w:sz w:val="24"/>
        </w:rPr>
        <w:lastRenderedPageBreak/>
        <w:t xml:space="preserve">Metcalf JL, Morgan SC, Morton JT, Naimey AT, Navas-Molina JA, Nothias LF, Orchanian SB, Pearson T, Peoples SL, Petras D, Preuss ML, Pruesse E, Rasmussen LB, Rivers A, Robeson MS, Rosenthal P, Segata N, Shaffer M, Shiffer A, Sinha R, Song SJ, Spear JR, Swafford AD, Thompson LR, Torres PJ, Trinh P, Tripathi A, Turnbaugh PJ, Ul-Hasan S, van der Hooft JJJ, Vargas F, Vázquez-Baeza Y, Vogtmann E, et al. Reproducible, interactive, scalable and extensible microbiome data science using QIIME 2. </w:t>
      </w:r>
      <w:r w:rsidRPr="00F80CF1">
        <w:rPr>
          <w:rFonts w:ascii="Arial" w:hAnsi="Arial" w:cs="Arial"/>
          <w:i/>
          <w:iCs/>
          <w:sz w:val="24"/>
        </w:rPr>
        <w:t>Nat Biotechnol</w:t>
      </w:r>
      <w:r w:rsidRPr="00F80CF1">
        <w:rPr>
          <w:rFonts w:ascii="Arial" w:hAnsi="Arial" w:cs="Arial"/>
          <w:sz w:val="24"/>
        </w:rPr>
        <w:t xml:space="preserve">. 2019;37:852–857. </w:t>
      </w:r>
    </w:p>
    <w:p w14:paraId="11086A2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 </w:t>
      </w:r>
      <w:r w:rsidRPr="00F80CF1">
        <w:rPr>
          <w:rFonts w:ascii="Arial" w:hAnsi="Arial" w:cs="Arial"/>
          <w:sz w:val="24"/>
        </w:rPr>
        <w:tab/>
        <w:t xml:space="preserve">Armstrong G, Cantrell K, Huang S, McDonald D, Haiminen N, Carrieri AP, Zhu Q, Gonzalez A, McGrath I, Beck KL, Hakim D, Havulinna AS, Méric G, Niiranen T, Lahti L, Salomaa V, Jain M, Inouye M, Swafford AD, Kim H-C, Parida L, Vázquez-Baeza Y, Knight R. Efficient computation of Faith’s phylogenetic diversity with applications in characterizing microbiomes. </w:t>
      </w:r>
      <w:r w:rsidRPr="00F80CF1">
        <w:rPr>
          <w:rFonts w:ascii="Arial" w:hAnsi="Arial" w:cs="Arial"/>
          <w:i/>
          <w:iCs/>
          <w:sz w:val="24"/>
        </w:rPr>
        <w:t>Genome Res</w:t>
      </w:r>
      <w:r w:rsidRPr="00F80CF1">
        <w:rPr>
          <w:rFonts w:ascii="Arial" w:hAnsi="Arial" w:cs="Arial"/>
          <w:sz w:val="24"/>
        </w:rPr>
        <w:t xml:space="preserve">. 2021;31:2131–2137. </w:t>
      </w:r>
    </w:p>
    <w:p w14:paraId="0ADD10D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 </w:t>
      </w:r>
      <w:r w:rsidRPr="00F80CF1">
        <w:rPr>
          <w:rFonts w:ascii="Arial" w:hAnsi="Arial" w:cs="Arial"/>
          <w:sz w:val="24"/>
        </w:rPr>
        <w:tab/>
        <w:t xml:space="preserve">Knight R, Vrbanac A, Taylor BC, Aksenov A, Callewaert C, Debelius J, Gonzalez A, Kosciolek T, McCall L-I, McDonald D, Melnik AV, Morton JT, Navas J, Quinn RA, Sanders JG, Swafford AD, Thompson LR, Tripathi A, Xu ZZ, Zaneveld JR, Zhu Q, Caporaso JG, Dorrestein PC. Best practices for analysing microbiomes. </w:t>
      </w:r>
      <w:r w:rsidRPr="00F80CF1">
        <w:rPr>
          <w:rFonts w:ascii="Arial" w:hAnsi="Arial" w:cs="Arial"/>
          <w:i/>
          <w:iCs/>
          <w:sz w:val="24"/>
        </w:rPr>
        <w:t>Nat Rev Microbiol</w:t>
      </w:r>
      <w:r w:rsidRPr="00F80CF1">
        <w:rPr>
          <w:rFonts w:ascii="Arial" w:hAnsi="Arial" w:cs="Arial"/>
          <w:sz w:val="24"/>
        </w:rPr>
        <w:t xml:space="preserve">. 2018;16:410–422. </w:t>
      </w:r>
    </w:p>
    <w:p w14:paraId="5DDCDF0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 </w:t>
      </w:r>
      <w:r w:rsidRPr="00F80CF1">
        <w:rPr>
          <w:rFonts w:ascii="Arial" w:hAnsi="Arial" w:cs="Arial"/>
          <w:sz w:val="24"/>
        </w:rPr>
        <w:tab/>
        <w:t xml:space="preserve">Lozupone CA, Knight R. Species divergence and the measurement of microbial diversity. </w:t>
      </w:r>
      <w:r w:rsidRPr="00F80CF1">
        <w:rPr>
          <w:rFonts w:ascii="Arial" w:hAnsi="Arial" w:cs="Arial"/>
          <w:i/>
          <w:iCs/>
          <w:sz w:val="24"/>
        </w:rPr>
        <w:t>FEMS Microbiol Rev</w:t>
      </w:r>
      <w:r w:rsidRPr="00F80CF1">
        <w:rPr>
          <w:rFonts w:ascii="Arial" w:hAnsi="Arial" w:cs="Arial"/>
          <w:sz w:val="24"/>
        </w:rPr>
        <w:t xml:space="preserve">. 2008;32:557–578. </w:t>
      </w:r>
    </w:p>
    <w:p w14:paraId="7D65DDB8"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 </w:t>
      </w:r>
      <w:r w:rsidRPr="00F80CF1">
        <w:rPr>
          <w:rFonts w:ascii="Arial" w:hAnsi="Arial" w:cs="Arial"/>
          <w:sz w:val="24"/>
        </w:rPr>
        <w:tab/>
        <w:t xml:space="preserve">Mandal S, Van Treuren W, White RA, Eggesbø M, Knight R, Peddada SD. Analysis of composition of microbiomes: a novel method for studying microbial composition. </w:t>
      </w:r>
      <w:r w:rsidRPr="00F80CF1">
        <w:rPr>
          <w:rFonts w:ascii="Arial" w:hAnsi="Arial" w:cs="Arial"/>
          <w:i/>
          <w:iCs/>
          <w:sz w:val="24"/>
        </w:rPr>
        <w:t>Microb Ecol Health Dis</w:t>
      </w:r>
      <w:r w:rsidRPr="00F80CF1">
        <w:rPr>
          <w:rFonts w:ascii="Arial" w:hAnsi="Arial" w:cs="Arial"/>
          <w:sz w:val="24"/>
        </w:rPr>
        <w:t xml:space="preserve">. 2015;26:27663. </w:t>
      </w:r>
    </w:p>
    <w:p w14:paraId="47F7E08B"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 </w:t>
      </w:r>
      <w:r w:rsidRPr="00F80CF1">
        <w:rPr>
          <w:rFonts w:ascii="Arial" w:hAnsi="Arial" w:cs="Arial"/>
          <w:sz w:val="24"/>
        </w:rPr>
        <w:tab/>
        <w:t xml:space="preserve">Morton JT, Marotz C, Washburne A, Silverman J, Zaramela LS, Edlund A, Zengler K, Knight R. Establishing microbial composition measurement standards with reference frames. </w:t>
      </w:r>
      <w:r w:rsidRPr="00F80CF1">
        <w:rPr>
          <w:rFonts w:ascii="Arial" w:hAnsi="Arial" w:cs="Arial"/>
          <w:i/>
          <w:iCs/>
          <w:sz w:val="24"/>
        </w:rPr>
        <w:t>Nat Commun</w:t>
      </w:r>
      <w:r w:rsidRPr="00F80CF1">
        <w:rPr>
          <w:rFonts w:ascii="Arial" w:hAnsi="Arial" w:cs="Arial"/>
          <w:sz w:val="24"/>
        </w:rPr>
        <w:t xml:space="preserve">. 2019;10:2719. </w:t>
      </w:r>
    </w:p>
    <w:p w14:paraId="0B6E025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 </w:t>
      </w:r>
      <w:r w:rsidRPr="00F80CF1">
        <w:rPr>
          <w:rFonts w:ascii="Arial" w:hAnsi="Arial" w:cs="Arial"/>
          <w:sz w:val="24"/>
        </w:rPr>
        <w:tab/>
        <w:t xml:space="preserve">Fedarko MW, Martino C, Morton JT, González A, Rahman G, Marotz CA, Minich JJ, Allen EE, Knight R. Visualizing ’omic feature rankings and log-ratios using Qurro. </w:t>
      </w:r>
      <w:r w:rsidRPr="00F80CF1">
        <w:rPr>
          <w:rFonts w:ascii="Arial" w:hAnsi="Arial" w:cs="Arial"/>
          <w:i/>
          <w:iCs/>
          <w:sz w:val="24"/>
        </w:rPr>
        <w:t>NAR Genom Bioinform</w:t>
      </w:r>
      <w:r w:rsidRPr="00F80CF1">
        <w:rPr>
          <w:rFonts w:ascii="Arial" w:hAnsi="Arial" w:cs="Arial"/>
          <w:sz w:val="24"/>
        </w:rPr>
        <w:t xml:space="preserve">. 2020;2:lqaa023. </w:t>
      </w:r>
    </w:p>
    <w:p w14:paraId="165CDF9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 </w:t>
      </w:r>
      <w:r w:rsidRPr="00F80CF1">
        <w:rPr>
          <w:rFonts w:ascii="Arial" w:hAnsi="Arial" w:cs="Arial"/>
          <w:sz w:val="24"/>
        </w:rPr>
        <w:tab/>
        <w:t xml:space="preserve">Casso AG, VanDongen NS, Gioscia-Ryan RA, Clayton ZS, Greenberg NT, Ziemba BP, Hutton DA, Neilson AP, Davy KP, Seals DR, Brunt VE. Initiation of 3,3-dimethyl-1-butanol at midlife prevents endothelial dysfunction and attenuates in vivo aortic stiffening with ageing in mice. </w:t>
      </w:r>
      <w:r w:rsidRPr="00F80CF1">
        <w:rPr>
          <w:rFonts w:ascii="Arial" w:hAnsi="Arial" w:cs="Arial"/>
          <w:i/>
          <w:iCs/>
          <w:sz w:val="24"/>
        </w:rPr>
        <w:t>J Physiol</w:t>
      </w:r>
      <w:r w:rsidRPr="00F80CF1">
        <w:rPr>
          <w:rFonts w:ascii="Arial" w:hAnsi="Arial" w:cs="Arial"/>
          <w:sz w:val="24"/>
        </w:rPr>
        <w:t xml:space="preserve">. 2022;600:4633–4651. </w:t>
      </w:r>
    </w:p>
    <w:p w14:paraId="03FB1DE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 </w:t>
      </w:r>
      <w:r w:rsidRPr="00F80CF1">
        <w:rPr>
          <w:rFonts w:ascii="Arial" w:hAnsi="Arial" w:cs="Arial"/>
          <w:sz w:val="24"/>
        </w:rPr>
        <w:tab/>
        <w:t xml:space="preserve">Brunt VE, Gioscia-Ryan RA, Casso AG, VanDongen NS, Ziemba BP, Sapinsley ZJ, Richey JJ, Zigler MC, Neilson AP, Davy KP, Seals DR. Trimethylamine-N-Oxide Promotes Age-Related Vascular Oxidative Stress and Endothelial Dysfunction in Mice and Healthy Humans. </w:t>
      </w:r>
      <w:r w:rsidRPr="00F80CF1">
        <w:rPr>
          <w:rFonts w:ascii="Arial" w:hAnsi="Arial" w:cs="Arial"/>
          <w:i/>
          <w:iCs/>
          <w:sz w:val="24"/>
        </w:rPr>
        <w:t>Hypertension</w:t>
      </w:r>
      <w:r w:rsidRPr="00F80CF1">
        <w:rPr>
          <w:rFonts w:ascii="Arial" w:hAnsi="Arial" w:cs="Arial"/>
          <w:sz w:val="24"/>
        </w:rPr>
        <w:t xml:space="preserve">. 2020;76:101–112. </w:t>
      </w:r>
    </w:p>
    <w:p w14:paraId="53B692D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 </w:t>
      </w:r>
      <w:r w:rsidRPr="00F80CF1">
        <w:rPr>
          <w:rFonts w:ascii="Arial" w:hAnsi="Arial" w:cs="Arial"/>
          <w:sz w:val="24"/>
        </w:rPr>
        <w:tab/>
        <w:t xml:space="preserve">Fleenor BS, Seals DR, Zigler ML, Sindler AL. Superoxide-lowering therapy with TEMPOL reverses arterial dysfunction with aging in mice. </w:t>
      </w:r>
      <w:r w:rsidRPr="00F80CF1">
        <w:rPr>
          <w:rFonts w:ascii="Arial" w:hAnsi="Arial" w:cs="Arial"/>
          <w:i/>
          <w:iCs/>
          <w:sz w:val="24"/>
        </w:rPr>
        <w:t>Aging Cell</w:t>
      </w:r>
      <w:r w:rsidRPr="00F80CF1">
        <w:rPr>
          <w:rFonts w:ascii="Arial" w:hAnsi="Arial" w:cs="Arial"/>
          <w:sz w:val="24"/>
        </w:rPr>
        <w:t xml:space="preserve">. 2012;11:269–276. </w:t>
      </w:r>
    </w:p>
    <w:p w14:paraId="1E2C01DF" w14:textId="77777777" w:rsidR="00F80CF1" w:rsidRPr="00F80CF1" w:rsidRDefault="00F80CF1" w:rsidP="00F80CF1">
      <w:pPr>
        <w:pStyle w:val="Bibliography"/>
        <w:rPr>
          <w:rFonts w:ascii="Arial" w:hAnsi="Arial" w:cs="Arial"/>
          <w:sz w:val="24"/>
        </w:rPr>
      </w:pPr>
      <w:r w:rsidRPr="00F80CF1">
        <w:rPr>
          <w:rFonts w:ascii="Arial" w:hAnsi="Arial" w:cs="Arial"/>
          <w:sz w:val="24"/>
        </w:rPr>
        <w:lastRenderedPageBreak/>
        <w:t xml:space="preserve">17. </w:t>
      </w:r>
      <w:r w:rsidRPr="00F80CF1">
        <w:rPr>
          <w:rFonts w:ascii="Arial" w:hAnsi="Arial" w:cs="Arial"/>
          <w:sz w:val="24"/>
        </w:rPr>
        <w:tab/>
        <w:t xml:space="preserve">Widlansky ME, Jensen DM, Wang J, Liu Y, Geurts AM, Kriegel AJ, Liu P, Ying R, Zhang G, Casati M, Chu C, Malik M, Branum A, Tanner MJ, Tyagi S, Usa K, Liang M. miR-29 contributes to normal endothelial function and can restore it in cardiometabolic disorders. </w:t>
      </w:r>
      <w:r w:rsidRPr="00F80CF1">
        <w:rPr>
          <w:rFonts w:ascii="Arial" w:hAnsi="Arial" w:cs="Arial"/>
          <w:i/>
          <w:iCs/>
          <w:sz w:val="24"/>
        </w:rPr>
        <w:t>EMBO Mol Med</w:t>
      </w:r>
      <w:r w:rsidRPr="00F80CF1">
        <w:rPr>
          <w:rFonts w:ascii="Arial" w:hAnsi="Arial" w:cs="Arial"/>
          <w:sz w:val="24"/>
        </w:rPr>
        <w:t xml:space="preserve">. 2018;10:e8046. </w:t>
      </w:r>
    </w:p>
    <w:p w14:paraId="19509198"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18. </w:t>
      </w:r>
      <w:r w:rsidRPr="00F80CF1">
        <w:rPr>
          <w:rFonts w:ascii="Arial" w:hAnsi="Arial" w:cs="Arial"/>
          <w:sz w:val="24"/>
        </w:rPr>
        <w:tab/>
        <w:t xml:space="preserve">Tanner MJ, Wang J, Ying R, Suboc TB, Malik M, Couillard A, Branum A, Puppala V, Widlansky ME. Dynamin-related protein 1 mediates low glucose-induced endothelial dysfunction in human arterioles. </w:t>
      </w:r>
      <w:r w:rsidRPr="00F80CF1">
        <w:rPr>
          <w:rFonts w:ascii="Arial" w:hAnsi="Arial" w:cs="Arial"/>
          <w:i/>
          <w:iCs/>
          <w:sz w:val="24"/>
        </w:rPr>
        <w:t>Am J Physiol Heart Circ Physiol</w:t>
      </w:r>
      <w:r w:rsidRPr="00F80CF1">
        <w:rPr>
          <w:rFonts w:ascii="Arial" w:hAnsi="Arial" w:cs="Arial"/>
          <w:sz w:val="24"/>
        </w:rPr>
        <w:t xml:space="preserve">. 2017;312:H515–H527. </w:t>
      </w:r>
    </w:p>
    <w:p w14:paraId="42EE35E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19. </w:t>
      </w:r>
      <w:r w:rsidRPr="00F80CF1">
        <w:rPr>
          <w:rFonts w:ascii="Arial" w:hAnsi="Arial" w:cs="Arial"/>
          <w:sz w:val="24"/>
        </w:rPr>
        <w:tab/>
        <w:t xml:space="preserve">Brunt VE, Gioscia-Ryan RA, Richey JJ, Zigler MC, Cuevas LM, Gonzalez A, Vázquez-Baeza Y, Battson ML, Smithson AT, Gilley AD, Ackermann G, Neilson AP, Weir T, Davy KP, Knight R, Seals DR. Suppression of the gut microbiome ameliorates age-related arterial dysfunction and oxidative stress in mice. </w:t>
      </w:r>
      <w:r w:rsidRPr="00F80CF1">
        <w:rPr>
          <w:rFonts w:ascii="Arial" w:hAnsi="Arial" w:cs="Arial"/>
          <w:i/>
          <w:iCs/>
          <w:sz w:val="24"/>
        </w:rPr>
        <w:t>J Physiol</w:t>
      </w:r>
      <w:r w:rsidRPr="00F80CF1">
        <w:rPr>
          <w:rFonts w:ascii="Arial" w:hAnsi="Arial" w:cs="Arial"/>
          <w:sz w:val="24"/>
        </w:rPr>
        <w:t xml:space="preserve">. 2019;597:2361–2378. </w:t>
      </w:r>
    </w:p>
    <w:p w14:paraId="4797D0C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20. </w:t>
      </w:r>
      <w:r w:rsidRPr="00F80CF1">
        <w:rPr>
          <w:rFonts w:ascii="Arial" w:hAnsi="Arial" w:cs="Arial"/>
          <w:sz w:val="24"/>
        </w:rPr>
        <w:tab/>
        <w:t xml:space="preserve">Brunt VE, Casso AG, Gioscia-Ryan RA, Sapinsley ZJ, Ziemba BP, Clayton ZS, Bazzoni AE, VanDongen NS, Richey JJ, Hutton DA, Zigler MC, Neilson AP, Davy KP, Seals DR. Gut Microbiome-Derived Metabolite Trimethylamine N-Oxide Induces Aortic Stiffening and Increases Systolic Blood Pressure With Aging in Mice and Humans. </w:t>
      </w:r>
      <w:r w:rsidRPr="00F80CF1">
        <w:rPr>
          <w:rFonts w:ascii="Arial" w:hAnsi="Arial" w:cs="Arial"/>
          <w:i/>
          <w:iCs/>
          <w:sz w:val="24"/>
        </w:rPr>
        <w:t>Hypertension</w:t>
      </w:r>
      <w:r w:rsidRPr="00F80CF1">
        <w:rPr>
          <w:rFonts w:ascii="Arial" w:hAnsi="Arial" w:cs="Arial"/>
          <w:sz w:val="24"/>
        </w:rPr>
        <w:t xml:space="preserve">. 2021;78:499–511. </w:t>
      </w:r>
    </w:p>
    <w:p w14:paraId="2630B8D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21. </w:t>
      </w:r>
      <w:r w:rsidRPr="00F80CF1">
        <w:rPr>
          <w:rFonts w:ascii="Arial" w:hAnsi="Arial" w:cs="Arial"/>
          <w:sz w:val="24"/>
        </w:rPr>
        <w:tab/>
        <w:t xml:space="preserve">Longtine AG, Venkatasubramanian R, Zigler MC, Lindquist AJ, Mahoney SA, Greenberg NT, VanDongen NS, Ludwig KR, Moreau KL, Seals DR, Clayton ZS. Female C57BL/6N mice are a viable model of aortic aging in women. </w:t>
      </w:r>
      <w:r w:rsidRPr="00F80CF1">
        <w:rPr>
          <w:rFonts w:ascii="Arial" w:hAnsi="Arial" w:cs="Arial"/>
          <w:i/>
          <w:iCs/>
          <w:sz w:val="24"/>
        </w:rPr>
        <w:t>Am J Physiol Heart Circ Physiol</w:t>
      </w:r>
      <w:r w:rsidRPr="00F80CF1">
        <w:rPr>
          <w:rFonts w:ascii="Arial" w:hAnsi="Arial" w:cs="Arial"/>
          <w:sz w:val="24"/>
        </w:rPr>
        <w:t xml:space="preserve">. 2023;324:H893–H904. </w:t>
      </w:r>
    </w:p>
    <w:p w14:paraId="3630989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22. </w:t>
      </w:r>
      <w:r w:rsidRPr="00F80CF1">
        <w:rPr>
          <w:rFonts w:ascii="Arial" w:hAnsi="Arial" w:cs="Arial"/>
          <w:sz w:val="24"/>
        </w:rPr>
        <w:tab/>
        <w:t xml:space="preserve">Lammers SR, Kao PH, Qi HJ, Hunter K, Lanning C, Albietz J, Hofmeister S, Mecham R, Stenmark KR, Shandas R. Changes in the structure-function relationship of elastin and its impact on the proximal pulmonary arterial mechanics of hypertensive calves. </w:t>
      </w:r>
      <w:r w:rsidRPr="00F80CF1">
        <w:rPr>
          <w:rFonts w:ascii="Arial" w:hAnsi="Arial" w:cs="Arial"/>
          <w:i/>
          <w:iCs/>
          <w:sz w:val="24"/>
        </w:rPr>
        <w:t>Am J Physiol Heart Circ Physiol</w:t>
      </w:r>
      <w:r w:rsidRPr="00F80CF1">
        <w:rPr>
          <w:rFonts w:ascii="Arial" w:hAnsi="Arial" w:cs="Arial"/>
          <w:sz w:val="24"/>
        </w:rPr>
        <w:t xml:space="preserve">. 2008;295:H1451-1459. </w:t>
      </w:r>
    </w:p>
    <w:p w14:paraId="015B2D2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23. </w:t>
      </w:r>
      <w:r w:rsidRPr="00F80CF1">
        <w:rPr>
          <w:rFonts w:ascii="Arial" w:hAnsi="Arial" w:cs="Arial"/>
          <w:sz w:val="24"/>
        </w:rPr>
        <w:tab/>
        <w:t xml:space="preserve">Clayton ZS, Hutton DA, Brunt VE, VanDongen NS, Ziemba BP, Casso AG, Greenberg NT, Mercer AN, Rossman MJ, Campisi J, Melov S, Seals DR. Apigenin restores endothelial function by ameliorating oxidative stress, reverses aortic stiffening, and mitigates vascular inflammation with aging. </w:t>
      </w:r>
      <w:r w:rsidRPr="00F80CF1">
        <w:rPr>
          <w:rFonts w:ascii="Arial" w:hAnsi="Arial" w:cs="Arial"/>
          <w:i/>
          <w:iCs/>
          <w:sz w:val="24"/>
        </w:rPr>
        <w:t>Am J Physiol Heart Circ Physiol</w:t>
      </w:r>
      <w:r w:rsidRPr="00F80CF1">
        <w:rPr>
          <w:rFonts w:ascii="Arial" w:hAnsi="Arial" w:cs="Arial"/>
          <w:sz w:val="24"/>
        </w:rPr>
        <w:t xml:space="preserve">. 2021;321:H185–H196. </w:t>
      </w:r>
    </w:p>
    <w:p w14:paraId="21DF150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24. </w:t>
      </w:r>
      <w:r w:rsidRPr="00F80CF1">
        <w:rPr>
          <w:rFonts w:ascii="Arial" w:hAnsi="Arial" w:cs="Arial"/>
          <w:sz w:val="24"/>
        </w:rPr>
        <w:tab/>
        <w:t xml:space="preserve">Clayton ZS, Rossman MJ, Mahoney SA, Venkatasubramanian R, Maurer GS, Hutton DA, VanDongen NS, Greenberg NT, Longtine AG, Ludwig KR, Brunt VE, LaRocca TJ, Campisi J, Melov S, Seals DR. Cellular Senescence Contributes to Large Elastic Artery Stiffening and Endothelial Dysfunction With Aging: Amelioration With Senolytic Treatment. </w:t>
      </w:r>
      <w:r w:rsidRPr="00F80CF1">
        <w:rPr>
          <w:rFonts w:ascii="Arial" w:hAnsi="Arial" w:cs="Arial"/>
          <w:i/>
          <w:iCs/>
          <w:sz w:val="24"/>
        </w:rPr>
        <w:t>Hypertension</w:t>
      </w:r>
      <w:r w:rsidRPr="00F80CF1">
        <w:rPr>
          <w:rFonts w:ascii="Arial" w:hAnsi="Arial" w:cs="Arial"/>
          <w:sz w:val="24"/>
        </w:rPr>
        <w:t xml:space="preserve">. 2023;80:2072–2087. </w:t>
      </w:r>
    </w:p>
    <w:p w14:paraId="063625FB"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25. </w:t>
      </w:r>
      <w:r w:rsidRPr="00F80CF1">
        <w:rPr>
          <w:rFonts w:ascii="Arial" w:hAnsi="Arial" w:cs="Arial"/>
          <w:sz w:val="24"/>
        </w:rPr>
        <w:tab/>
        <w:t xml:space="preserve">Maechler, M, Rousseeuw, P, Croux, C, Todorov, V, Ruckstuhl, A, Salibian-Barrera, M, Verbeke, T, Koller, M, Conceicao, EL, Anna di Palma, M. robustbase: Basic </w:t>
      </w:r>
      <w:r w:rsidRPr="00F80CF1">
        <w:rPr>
          <w:rFonts w:ascii="Arial" w:hAnsi="Arial" w:cs="Arial"/>
          <w:sz w:val="24"/>
        </w:rPr>
        <w:lastRenderedPageBreak/>
        <w:t xml:space="preserve">Robust Statistics. </w:t>
      </w:r>
      <w:r w:rsidRPr="00F80CF1">
        <w:rPr>
          <w:rFonts w:ascii="Arial" w:hAnsi="Arial" w:cs="Arial"/>
          <w:i/>
          <w:iCs/>
          <w:sz w:val="24"/>
        </w:rPr>
        <w:t>2024</w:t>
      </w:r>
      <w:r w:rsidRPr="00F80CF1">
        <w:rPr>
          <w:rFonts w:ascii="Arial" w:hAnsi="Arial" w:cs="Arial"/>
          <w:sz w:val="24"/>
        </w:rPr>
        <w:t xml:space="preserve"> [Internet]. R package version 0.99-2. Available from: http://robustbase.r-forge.r-project.org/</w:t>
      </w:r>
    </w:p>
    <w:p w14:paraId="665BBFE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26. </w:t>
      </w:r>
      <w:r w:rsidRPr="00F80CF1">
        <w:rPr>
          <w:rFonts w:ascii="Arial" w:hAnsi="Arial" w:cs="Arial"/>
          <w:sz w:val="24"/>
        </w:rPr>
        <w:tab/>
        <w:t xml:space="preserve">Flurkey K, Currer JM, Harrison DE. The Mouse in Aging Research. In The Mouse in Biomedical Research 2nd Edition, ed. Fox JG et al. 2nd ed. American College Laboratory Animal Medicine (Elsevier), Burlington, MA; 2007. </w:t>
      </w:r>
    </w:p>
    <w:p w14:paraId="68DDB51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27. </w:t>
      </w:r>
      <w:r w:rsidRPr="00F80CF1">
        <w:rPr>
          <w:rFonts w:ascii="Arial" w:hAnsi="Arial" w:cs="Arial"/>
          <w:sz w:val="24"/>
        </w:rPr>
        <w:tab/>
        <w:t xml:space="preserve">Sokol H, Pigneur B, Watterlot L, Lakhdari O, Bermúdez-Humarán LG, Gratadoux J-J, Blugeon S, Bridonneau C, Furet J-P, Corthier G, Grangette C, Vasquez N, Pochart P, Trugnan G, Thomas G, Blottière HM, Doré J, Marteau P, Seksik P, Langella P. Faecalibacterium prausnitzii is an anti-inflammatory commensal bacterium identified by gut microbiota analysis of Crohn disease patients. </w:t>
      </w:r>
      <w:r w:rsidRPr="00F80CF1">
        <w:rPr>
          <w:rFonts w:ascii="Arial" w:hAnsi="Arial" w:cs="Arial"/>
          <w:i/>
          <w:iCs/>
          <w:sz w:val="24"/>
        </w:rPr>
        <w:t>Proc Natl Acad Sci U S A</w:t>
      </w:r>
      <w:r w:rsidRPr="00F80CF1">
        <w:rPr>
          <w:rFonts w:ascii="Arial" w:hAnsi="Arial" w:cs="Arial"/>
          <w:sz w:val="24"/>
        </w:rPr>
        <w:t xml:space="preserve">. 2008;105:16731–16736. </w:t>
      </w:r>
    </w:p>
    <w:p w14:paraId="1C79A72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28. </w:t>
      </w:r>
      <w:r w:rsidRPr="00F80CF1">
        <w:rPr>
          <w:rFonts w:ascii="Arial" w:hAnsi="Arial" w:cs="Arial"/>
          <w:sz w:val="24"/>
        </w:rPr>
        <w:tab/>
        <w:t xml:space="preserve">Louis P, Flint HJ. Diversity, metabolism and microbial ecology of butyrate-producing bacteria from the human large intestine. </w:t>
      </w:r>
      <w:r w:rsidRPr="00F80CF1">
        <w:rPr>
          <w:rFonts w:ascii="Arial" w:hAnsi="Arial" w:cs="Arial"/>
          <w:i/>
          <w:iCs/>
          <w:sz w:val="24"/>
        </w:rPr>
        <w:t>FEMS Microbiol Lett</w:t>
      </w:r>
      <w:r w:rsidRPr="00F80CF1">
        <w:rPr>
          <w:rFonts w:ascii="Arial" w:hAnsi="Arial" w:cs="Arial"/>
          <w:sz w:val="24"/>
        </w:rPr>
        <w:t xml:space="preserve">. 2009;294:1–8. </w:t>
      </w:r>
    </w:p>
    <w:p w14:paraId="020F1F1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29. </w:t>
      </w:r>
      <w:r w:rsidRPr="00F80CF1">
        <w:rPr>
          <w:rFonts w:ascii="Arial" w:hAnsi="Arial" w:cs="Arial"/>
          <w:sz w:val="24"/>
        </w:rPr>
        <w:tab/>
        <w:t xml:space="preserve">Duncan SH, Hold GL, Harmsen HJM, Stewart CS, Flint HJ. Growth requirements and fermentation products of Fusobacterium prausnitzii, and a proposal to reclassify it as Faecalibacterium prausnitzii gen. nov., comb. nov. </w:t>
      </w:r>
      <w:r w:rsidRPr="00F80CF1">
        <w:rPr>
          <w:rFonts w:ascii="Arial" w:hAnsi="Arial" w:cs="Arial"/>
          <w:i/>
          <w:iCs/>
          <w:sz w:val="24"/>
        </w:rPr>
        <w:t>Int J Syst Evol Microbiol</w:t>
      </w:r>
      <w:r w:rsidRPr="00F80CF1">
        <w:rPr>
          <w:rFonts w:ascii="Arial" w:hAnsi="Arial" w:cs="Arial"/>
          <w:sz w:val="24"/>
        </w:rPr>
        <w:t xml:space="preserve">. 2002;52:2141–2146. </w:t>
      </w:r>
    </w:p>
    <w:p w14:paraId="1927D87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30. </w:t>
      </w:r>
      <w:r w:rsidRPr="00F80CF1">
        <w:rPr>
          <w:rFonts w:ascii="Arial" w:hAnsi="Arial" w:cs="Arial"/>
          <w:sz w:val="24"/>
        </w:rPr>
        <w:tab/>
        <w:t xml:space="preserve">Wrzosek L, Miquel S, Noordine M-L, Bouet S, Joncquel Chevalier-Curt M, Robert V, Philippe C, Bridonneau C, Cherbuy C, Robbe-Masselot C, Langella P, Thomas M. Bacteroides thetaiotaomicron and Faecalibacterium prausnitzii influence the production of mucus glycans and the development of goblet cells in the colonic epithelium of a gnotobiotic model rodent. </w:t>
      </w:r>
      <w:r w:rsidRPr="00F80CF1">
        <w:rPr>
          <w:rFonts w:ascii="Arial" w:hAnsi="Arial" w:cs="Arial"/>
          <w:i/>
          <w:iCs/>
          <w:sz w:val="24"/>
        </w:rPr>
        <w:t>BMC Biol</w:t>
      </w:r>
      <w:r w:rsidRPr="00F80CF1">
        <w:rPr>
          <w:rFonts w:ascii="Arial" w:hAnsi="Arial" w:cs="Arial"/>
          <w:sz w:val="24"/>
        </w:rPr>
        <w:t xml:space="preserve">. 2013;11:61. </w:t>
      </w:r>
    </w:p>
    <w:p w14:paraId="28A75E4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31. </w:t>
      </w:r>
      <w:r w:rsidRPr="00F80CF1">
        <w:rPr>
          <w:rFonts w:ascii="Arial" w:hAnsi="Arial" w:cs="Arial"/>
          <w:sz w:val="24"/>
        </w:rPr>
        <w:tab/>
        <w:t xml:space="preserve">Beller ZW, Wesener DA, Seebeck TR, Guruge JL, Byrne AE, Henrissat S, Terrapon N, Henrissat B, Rodionov DA, Osterman AL, Suarez C, Bacalzo NP, Chen Y, Couture G, Lebrilla CB, Zhang Z, Eastlund ER, McCann CH, Davis GD, Gordon JI. Inducible CRISPR-targeted “knockdown” of human gut Bacteroides in gnotobiotic mice discloses glycan utilization strategies. </w:t>
      </w:r>
      <w:r w:rsidRPr="00F80CF1">
        <w:rPr>
          <w:rFonts w:ascii="Arial" w:hAnsi="Arial" w:cs="Arial"/>
          <w:i/>
          <w:iCs/>
          <w:sz w:val="24"/>
        </w:rPr>
        <w:t>Proc Natl Acad Sci U S A</w:t>
      </w:r>
      <w:r w:rsidRPr="00F80CF1">
        <w:rPr>
          <w:rFonts w:ascii="Arial" w:hAnsi="Arial" w:cs="Arial"/>
          <w:sz w:val="24"/>
        </w:rPr>
        <w:t xml:space="preserve">. 2023;120:e2311422120. </w:t>
      </w:r>
    </w:p>
    <w:p w14:paraId="37D820C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32. </w:t>
      </w:r>
      <w:r w:rsidRPr="00F80CF1">
        <w:rPr>
          <w:rFonts w:ascii="Arial" w:hAnsi="Arial" w:cs="Arial"/>
          <w:sz w:val="24"/>
        </w:rPr>
        <w:tab/>
        <w:t xml:space="preserve">Liu B, Garza DR, Gonze D, Krzynowek A, Simoens K, Bernaerts K, Geirnaert A, Faust K. Starvation responses impact interaction dynamics of human gut bacteria Bacteroides thetaiotaomicron and Roseburia intestinalis. </w:t>
      </w:r>
      <w:r w:rsidRPr="00F80CF1">
        <w:rPr>
          <w:rFonts w:ascii="Arial" w:hAnsi="Arial" w:cs="Arial"/>
          <w:i/>
          <w:iCs/>
          <w:sz w:val="24"/>
        </w:rPr>
        <w:t>ISME J</w:t>
      </w:r>
      <w:r w:rsidRPr="00F80CF1">
        <w:rPr>
          <w:rFonts w:ascii="Arial" w:hAnsi="Arial" w:cs="Arial"/>
          <w:sz w:val="24"/>
        </w:rPr>
        <w:t xml:space="preserve">. 2023;17:1940–1952. </w:t>
      </w:r>
    </w:p>
    <w:p w14:paraId="796F715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33. </w:t>
      </w:r>
      <w:r w:rsidRPr="00F80CF1">
        <w:rPr>
          <w:rFonts w:ascii="Arial" w:hAnsi="Arial" w:cs="Arial"/>
          <w:sz w:val="24"/>
        </w:rPr>
        <w:tab/>
        <w:t xml:space="preserve">Curtis MM, Hu Z, Klimko C, Narayanan S, Deberardinis R, Sperandio V. The gut commensal Bacteroides thetaiotaomicron exacerbates enteric infection through modification of the metabolic landscape. </w:t>
      </w:r>
      <w:r w:rsidRPr="00F80CF1">
        <w:rPr>
          <w:rFonts w:ascii="Arial" w:hAnsi="Arial" w:cs="Arial"/>
          <w:i/>
          <w:iCs/>
          <w:sz w:val="24"/>
        </w:rPr>
        <w:t>Cell Host Microbe</w:t>
      </w:r>
      <w:r w:rsidRPr="00F80CF1">
        <w:rPr>
          <w:rFonts w:ascii="Arial" w:hAnsi="Arial" w:cs="Arial"/>
          <w:sz w:val="24"/>
        </w:rPr>
        <w:t xml:space="preserve">. 2014;16:759–769. </w:t>
      </w:r>
    </w:p>
    <w:p w14:paraId="435B6BF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34. </w:t>
      </w:r>
      <w:r w:rsidRPr="00F80CF1">
        <w:rPr>
          <w:rFonts w:ascii="Arial" w:hAnsi="Arial" w:cs="Arial"/>
          <w:sz w:val="24"/>
        </w:rPr>
        <w:tab/>
        <w:t xml:space="preserve">Hooper LV, Midtvedt T, Gordon JI. How host-microbial interactions shape the nutrient environment of the mammalian intestine. </w:t>
      </w:r>
      <w:r w:rsidRPr="00F80CF1">
        <w:rPr>
          <w:rFonts w:ascii="Arial" w:hAnsi="Arial" w:cs="Arial"/>
          <w:i/>
          <w:iCs/>
          <w:sz w:val="24"/>
        </w:rPr>
        <w:t>Annu Rev Nutr</w:t>
      </w:r>
      <w:r w:rsidRPr="00F80CF1">
        <w:rPr>
          <w:rFonts w:ascii="Arial" w:hAnsi="Arial" w:cs="Arial"/>
          <w:sz w:val="24"/>
        </w:rPr>
        <w:t xml:space="preserve">. 2002;22:283–307. </w:t>
      </w:r>
    </w:p>
    <w:p w14:paraId="2549FBD0"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35. </w:t>
      </w:r>
      <w:r w:rsidRPr="00F80CF1">
        <w:rPr>
          <w:rFonts w:ascii="Arial" w:hAnsi="Arial" w:cs="Arial"/>
          <w:sz w:val="24"/>
        </w:rPr>
        <w:tab/>
        <w:t xml:space="preserve">Modasia A, Parker A, Jones E, Stentz R, Brion A, Goldson A, Defernez M, Wileman T, Ashley Blackshaw L, Carding SR. Regulation of Enteroendocrine Cell </w:t>
      </w:r>
      <w:r w:rsidRPr="00F80CF1">
        <w:rPr>
          <w:rFonts w:ascii="Arial" w:hAnsi="Arial" w:cs="Arial"/>
          <w:sz w:val="24"/>
        </w:rPr>
        <w:lastRenderedPageBreak/>
        <w:t xml:space="preserve">Networks by the Major Human Gut Symbiont Bacteroides thetaiotaomicron. </w:t>
      </w:r>
      <w:r w:rsidRPr="00F80CF1">
        <w:rPr>
          <w:rFonts w:ascii="Arial" w:hAnsi="Arial" w:cs="Arial"/>
          <w:i/>
          <w:iCs/>
          <w:sz w:val="24"/>
        </w:rPr>
        <w:t>Front Microbiol</w:t>
      </w:r>
      <w:r w:rsidRPr="00F80CF1">
        <w:rPr>
          <w:rFonts w:ascii="Arial" w:hAnsi="Arial" w:cs="Arial"/>
          <w:sz w:val="24"/>
        </w:rPr>
        <w:t xml:space="preserve">. 2020;11:575595. </w:t>
      </w:r>
    </w:p>
    <w:p w14:paraId="224E1190"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36. </w:t>
      </w:r>
      <w:r w:rsidRPr="00F80CF1">
        <w:rPr>
          <w:rFonts w:ascii="Arial" w:hAnsi="Arial" w:cs="Arial"/>
          <w:sz w:val="24"/>
        </w:rPr>
        <w:tab/>
        <w:t xml:space="preserve">D’hoe K, Vet S, Faust K, Moens F, Falony G, Gonze D, Lloréns-Rico V, Gelens L, Danckaert J, De Vuyst L, Raes J. Integrated culturing, modeling and transcriptomics uncovers complex interactions and emergent behavior in a three-species synthetic gut community. </w:t>
      </w:r>
      <w:r w:rsidRPr="00F80CF1">
        <w:rPr>
          <w:rFonts w:ascii="Arial" w:hAnsi="Arial" w:cs="Arial"/>
          <w:i/>
          <w:iCs/>
          <w:sz w:val="24"/>
        </w:rPr>
        <w:t>Elife</w:t>
      </w:r>
      <w:r w:rsidRPr="00F80CF1">
        <w:rPr>
          <w:rFonts w:ascii="Arial" w:hAnsi="Arial" w:cs="Arial"/>
          <w:sz w:val="24"/>
        </w:rPr>
        <w:t xml:space="preserve">. 2018;7:e37090. </w:t>
      </w:r>
    </w:p>
    <w:p w14:paraId="2804813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37. </w:t>
      </w:r>
      <w:r w:rsidRPr="00F80CF1">
        <w:rPr>
          <w:rFonts w:ascii="Arial" w:hAnsi="Arial" w:cs="Arial"/>
          <w:sz w:val="24"/>
        </w:rPr>
        <w:tab/>
        <w:t xml:space="preserve">Duncan SH, Barcenilla A, Stewart CS, Pryde SE, Flint HJ. Acetate utilization and butyryl coenzyme A (CoA):acetate-CoA transferase in butyrate-producing bacteria from the human large intestine. </w:t>
      </w:r>
      <w:r w:rsidRPr="00F80CF1">
        <w:rPr>
          <w:rFonts w:ascii="Arial" w:hAnsi="Arial" w:cs="Arial"/>
          <w:i/>
          <w:iCs/>
          <w:sz w:val="24"/>
        </w:rPr>
        <w:t>Appl Environ Microbiol</w:t>
      </w:r>
      <w:r w:rsidRPr="00F80CF1">
        <w:rPr>
          <w:rFonts w:ascii="Arial" w:hAnsi="Arial" w:cs="Arial"/>
          <w:sz w:val="24"/>
        </w:rPr>
        <w:t xml:space="preserve">. 2002;68:5186–5190. </w:t>
      </w:r>
    </w:p>
    <w:p w14:paraId="4FDE659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38. </w:t>
      </w:r>
      <w:r w:rsidRPr="00F80CF1">
        <w:rPr>
          <w:rFonts w:ascii="Arial" w:hAnsi="Arial" w:cs="Arial"/>
          <w:sz w:val="24"/>
        </w:rPr>
        <w:tab/>
        <w:t xml:space="preserve">Duncan SH, Hold GL, Barcenilla A, Stewart CS, Flint HJ. Roseburia intestinalis sp. nov., a novel saccharolytic, butyrate-producing bacterium from human faeces. </w:t>
      </w:r>
      <w:r w:rsidRPr="00F80CF1">
        <w:rPr>
          <w:rFonts w:ascii="Arial" w:hAnsi="Arial" w:cs="Arial"/>
          <w:i/>
          <w:iCs/>
          <w:sz w:val="24"/>
        </w:rPr>
        <w:t>Int J Syst Evol Microbiol</w:t>
      </w:r>
      <w:r w:rsidRPr="00F80CF1">
        <w:rPr>
          <w:rFonts w:ascii="Arial" w:hAnsi="Arial" w:cs="Arial"/>
          <w:sz w:val="24"/>
        </w:rPr>
        <w:t xml:space="preserve">. 2002;52:1615–1620. </w:t>
      </w:r>
    </w:p>
    <w:p w14:paraId="21EC0B5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39. </w:t>
      </w:r>
      <w:r w:rsidRPr="00F80CF1">
        <w:rPr>
          <w:rFonts w:ascii="Arial" w:hAnsi="Arial" w:cs="Arial"/>
          <w:sz w:val="24"/>
        </w:rPr>
        <w:tab/>
        <w:t xml:space="preserve">Xu L, Yu Q, Ma L, Su T, Zhang D, Yao D, Li Z. In vitro simulated fecal fermentation of mixed grains on short-chain fatty acid generation and its metabolized mechanism. </w:t>
      </w:r>
      <w:r w:rsidRPr="00F80CF1">
        <w:rPr>
          <w:rFonts w:ascii="Arial" w:hAnsi="Arial" w:cs="Arial"/>
          <w:i/>
          <w:iCs/>
          <w:sz w:val="24"/>
        </w:rPr>
        <w:t>Food Res Int</w:t>
      </w:r>
      <w:r w:rsidRPr="00F80CF1">
        <w:rPr>
          <w:rFonts w:ascii="Arial" w:hAnsi="Arial" w:cs="Arial"/>
          <w:sz w:val="24"/>
        </w:rPr>
        <w:t xml:space="preserve">. 2023;170:112949. </w:t>
      </w:r>
    </w:p>
    <w:p w14:paraId="777B553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40. </w:t>
      </w:r>
      <w:r w:rsidRPr="00F80CF1">
        <w:rPr>
          <w:rFonts w:ascii="Arial" w:hAnsi="Arial" w:cs="Arial"/>
          <w:sz w:val="24"/>
        </w:rPr>
        <w:tab/>
        <w:t xml:space="preserve">Lordan C, Thapa D, Ross RP, Cotter PD. Potential for enriching next-generation health-promoting gut bacteria through prebiotics and other dietary components. </w:t>
      </w:r>
      <w:r w:rsidRPr="00F80CF1">
        <w:rPr>
          <w:rFonts w:ascii="Arial" w:hAnsi="Arial" w:cs="Arial"/>
          <w:i/>
          <w:iCs/>
          <w:sz w:val="24"/>
        </w:rPr>
        <w:t>Gut Microbes</w:t>
      </w:r>
      <w:r w:rsidRPr="00F80CF1">
        <w:rPr>
          <w:rFonts w:ascii="Arial" w:hAnsi="Arial" w:cs="Arial"/>
          <w:sz w:val="24"/>
        </w:rPr>
        <w:t xml:space="preserve">. 2020;11:1–20. </w:t>
      </w:r>
    </w:p>
    <w:p w14:paraId="518094D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41. </w:t>
      </w:r>
      <w:r w:rsidRPr="00F80CF1">
        <w:rPr>
          <w:rFonts w:ascii="Arial" w:hAnsi="Arial" w:cs="Arial"/>
          <w:sz w:val="24"/>
        </w:rPr>
        <w:tab/>
        <w:t xml:space="preserve">Fu X, Liu Z, Zhu C, Mou H, Kong Q. Nondigestible carbohydrates, butyrate, and butyrate-producing bacteria. </w:t>
      </w:r>
      <w:r w:rsidRPr="00F80CF1">
        <w:rPr>
          <w:rFonts w:ascii="Arial" w:hAnsi="Arial" w:cs="Arial"/>
          <w:i/>
          <w:iCs/>
          <w:sz w:val="24"/>
        </w:rPr>
        <w:t>Crit Rev Food Sci Nutr</w:t>
      </w:r>
      <w:r w:rsidRPr="00F80CF1">
        <w:rPr>
          <w:rFonts w:ascii="Arial" w:hAnsi="Arial" w:cs="Arial"/>
          <w:sz w:val="24"/>
        </w:rPr>
        <w:t xml:space="preserve">. 2019;59:S130–S152. </w:t>
      </w:r>
    </w:p>
    <w:p w14:paraId="4CDBCE8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42. </w:t>
      </w:r>
      <w:r w:rsidRPr="00F80CF1">
        <w:rPr>
          <w:rFonts w:ascii="Arial" w:hAnsi="Arial" w:cs="Arial"/>
          <w:sz w:val="24"/>
        </w:rPr>
        <w:tab/>
        <w:t xml:space="preserve">Nabizadeh E, Sadeghi J, Rezaee MA, Hamishehkar H, Hasani A, Kafil HS, Sharifi Y, Asnaashari S, Kadkhoda H, Ghotaslou R. The profile of key gut microbiota members and short-chain fatty acids in patients with sepsis. </w:t>
      </w:r>
      <w:r w:rsidRPr="00F80CF1">
        <w:rPr>
          <w:rFonts w:ascii="Arial" w:hAnsi="Arial" w:cs="Arial"/>
          <w:i/>
          <w:iCs/>
          <w:sz w:val="24"/>
        </w:rPr>
        <w:t>Heliyon</w:t>
      </w:r>
      <w:r w:rsidRPr="00F80CF1">
        <w:rPr>
          <w:rFonts w:ascii="Arial" w:hAnsi="Arial" w:cs="Arial"/>
          <w:sz w:val="24"/>
        </w:rPr>
        <w:t xml:space="preserve">. 2023;9:e17880. </w:t>
      </w:r>
    </w:p>
    <w:p w14:paraId="2790097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43. </w:t>
      </w:r>
      <w:r w:rsidRPr="00F80CF1">
        <w:rPr>
          <w:rFonts w:ascii="Arial" w:hAnsi="Arial" w:cs="Arial"/>
          <w:sz w:val="24"/>
        </w:rPr>
        <w:tab/>
        <w:t xml:space="preserve">Engels C, Ruscheweyh H-J, Beerenwinkel N, Lacroix C, Schwab C. The Common Gut Microbe Eubacterium hallii also Contributes to Intestinal Propionate Formation. </w:t>
      </w:r>
      <w:r w:rsidRPr="00F80CF1">
        <w:rPr>
          <w:rFonts w:ascii="Arial" w:hAnsi="Arial" w:cs="Arial"/>
          <w:i/>
          <w:iCs/>
          <w:sz w:val="24"/>
        </w:rPr>
        <w:t>Front Microbiol</w:t>
      </w:r>
      <w:r w:rsidRPr="00F80CF1">
        <w:rPr>
          <w:rFonts w:ascii="Arial" w:hAnsi="Arial" w:cs="Arial"/>
          <w:sz w:val="24"/>
        </w:rPr>
        <w:t xml:space="preserve">. 2016;7:713. </w:t>
      </w:r>
    </w:p>
    <w:p w14:paraId="5BC8A31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44. </w:t>
      </w:r>
      <w:r w:rsidRPr="00F80CF1">
        <w:rPr>
          <w:rFonts w:ascii="Arial" w:hAnsi="Arial" w:cs="Arial"/>
          <w:sz w:val="24"/>
        </w:rPr>
        <w:tab/>
        <w:t xml:space="preserve">Kubáňová L, Bielik V, Hric I, Ugrayová S, Šoltys K, Rádiková Ž, Baranovičová E, Grendár M, Kolisek M, Penesová A. Gut Microbiota and Serum Metabolites in Individuals with Class III Obesity Without Type 2 Diabetes Mellitus: Pilot Analysis. </w:t>
      </w:r>
      <w:r w:rsidRPr="00F80CF1">
        <w:rPr>
          <w:rFonts w:ascii="Arial" w:hAnsi="Arial" w:cs="Arial"/>
          <w:i/>
          <w:iCs/>
          <w:sz w:val="24"/>
        </w:rPr>
        <w:t>Metab Syndr Relat Disord</w:t>
      </w:r>
      <w:r w:rsidRPr="00F80CF1">
        <w:rPr>
          <w:rFonts w:ascii="Arial" w:hAnsi="Arial" w:cs="Arial"/>
          <w:sz w:val="24"/>
        </w:rPr>
        <w:t xml:space="preserve">. 2023;21:243–253. </w:t>
      </w:r>
    </w:p>
    <w:p w14:paraId="3B25FA1B"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45. </w:t>
      </w:r>
      <w:r w:rsidRPr="00F80CF1">
        <w:rPr>
          <w:rFonts w:ascii="Arial" w:hAnsi="Arial" w:cs="Arial"/>
          <w:sz w:val="24"/>
        </w:rPr>
        <w:tab/>
        <w:t xml:space="preserve">Igudesman D, Crandell J, Corbin KD, Muntis F, Zaharieva DP, Casu A, Thomas JM, Bulik CM, Carroll IM, Pence BW, Pratley RE, Kosorok MR, Maahs DM, Mayer-Davis EJ. The Intestinal Microbiota and Short-Chain Fatty Acids in Association with Advanced Metrics of Glycemia and Adiposity Among Young Adults with Type 1 Diabetes and Overweight or Obesity. </w:t>
      </w:r>
      <w:r w:rsidRPr="00F80CF1">
        <w:rPr>
          <w:rFonts w:ascii="Arial" w:hAnsi="Arial" w:cs="Arial"/>
          <w:i/>
          <w:iCs/>
          <w:sz w:val="24"/>
        </w:rPr>
        <w:t>Curr Dev Nutr</w:t>
      </w:r>
      <w:r w:rsidRPr="00F80CF1">
        <w:rPr>
          <w:rFonts w:ascii="Arial" w:hAnsi="Arial" w:cs="Arial"/>
          <w:sz w:val="24"/>
        </w:rPr>
        <w:t xml:space="preserve">. 2022;6:nzac107. </w:t>
      </w:r>
    </w:p>
    <w:p w14:paraId="3AF8B99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46. </w:t>
      </w:r>
      <w:r w:rsidRPr="00F80CF1">
        <w:rPr>
          <w:rFonts w:ascii="Arial" w:hAnsi="Arial" w:cs="Arial"/>
          <w:sz w:val="24"/>
        </w:rPr>
        <w:tab/>
        <w:t xml:space="preserve">de la Cuesta-Zuluaga J, Mueller NT, Corrales-Agudelo V, Velásquez-Mejía EP, Carmona JA, Abad JM, Escobar JS. Metformin Is Associated With Higher Relative </w:t>
      </w:r>
      <w:r w:rsidRPr="00F80CF1">
        <w:rPr>
          <w:rFonts w:ascii="Arial" w:hAnsi="Arial" w:cs="Arial"/>
          <w:sz w:val="24"/>
        </w:rPr>
        <w:lastRenderedPageBreak/>
        <w:t xml:space="preserve">Abundance of Mucin-Degrading Akkermansia muciniphila and Several Short-Chain Fatty Acid-Producing Microbiota in the Gut. </w:t>
      </w:r>
      <w:r w:rsidRPr="00F80CF1">
        <w:rPr>
          <w:rFonts w:ascii="Arial" w:hAnsi="Arial" w:cs="Arial"/>
          <w:i/>
          <w:iCs/>
          <w:sz w:val="24"/>
        </w:rPr>
        <w:t>Diabetes Care</w:t>
      </w:r>
      <w:r w:rsidRPr="00F80CF1">
        <w:rPr>
          <w:rFonts w:ascii="Arial" w:hAnsi="Arial" w:cs="Arial"/>
          <w:sz w:val="24"/>
        </w:rPr>
        <w:t xml:space="preserve">. 2017;40:54–62. </w:t>
      </w:r>
    </w:p>
    <w:p w14:paraId="72F4E99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47. </w:t>
      </w:r>
      <w:r w:rsidRPr="00F80CF1">
        <w:rPr>
          <w:rFonts w:ascii="Arial" w:hAnsi="Arial" w:cs="Arial"/>
          <w:sz w:val="24"/>
        </w:rPr>
        <w:tab/>
        <w:t xml:space="preserve">Louis P, Hold GL, Flint HJ. The gut microbiota, bacterial metabolites and colorectal cancer. </w:t>
      </w:r>
      <w:r w:rsidRPr="00F80CF1">
        <w:rPr>
          <w:rFonts w:ascii="Arial" w:hAnsi="Arial" w:cs="Arial"/>
          <w:i/>
          <w:iCs/>
          <w:sz w:val="24"/>
        </w:rPr>
        <w:t>Nat Rev Microbiol</w:t>
      </w:r>
      <w:r w:rsidRPr="00F80CF1">
        <w:rPr>
          <w:rFonts w:ascii="Arial" w:hAnsi="Arial" w:cs="Arial"/>
          <w:sz w:val="24"/>
        </w:rPr>
        <w:t xml:space="preserve">. 2014;12:661–672. </w:t>
      </w:r>
    </w:p>
    <w:p w14:paraId="38B30D5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48. </w:t>
      </w:r>
      <w:r w:rsidRPr="00F80CF1">
        <w:rPr>
          <w:rFonts w:ascii="Arial" w:hAnsi="Arial" w:cs="Arial"/>
          <w:sz w:val="24"/>
        </w:rPr>
        <w:tab/>
        <w:t xml:space="preserve">Flint HJ. Gut microbial metabolites in health and disease. </w:t>
      </w:r>
      <w:r w:rsidRPr="00F80CF1">
        <w:rPr>
          <w:rFonts w:ascii="Arial" w:hAnsi="Arial" w:cs="Arial"/>
          <w:i/>
          <w:iCs/>
          <w:sz w:val="24"/>
        </w:rPr>
        <w:t>Gut Microbes</w:t>
      </w:r>
      <w:r w:rsidRPr="00F80CF1">
        <w:rPr>
          <w:rFonts w:ascii="Arial" w:hAnsi="Arial" w:cs="Arial"/>
          <w:sz w:val="24"/>
        </w:rPr>
        <w:t xml:space="preserve">. 2016;7:187–188. </w:t>
      </w:r>
    </w:p>
    <w:p w14:paraId="4814A730"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49. </w:t>
      </w:r>
      <w:r w:rsidRPr="00F80CF1">
        <w:rPr>
          <w:rFonts w:ascii="Arial" w:hAnsi="Arial" w:cs="Arial"/>
          <w:sz w:val="24"/>
        </w:rPr>
        <w:tab/>
        <w:t xml:space="preserve">Morrison DJ, Preston T. Formation of short chain fatty acids by the gut microbiota and their impact on human metabolism. </w:t>
      </w:r>
      <w:r w:rsidRPr="00F80CF1">
        <w:rPr>
          <w:rFonts w:ascii="Arial" w:hAnsi="Arial" w:cs="Arial"/>
          <w:i/>
          <w:iCs/>
          <w:sz w:val="24"/>
        </w:rPr>
        <w:t>Gut Microbes</w:t>
      </w:r>
      <w:r w:rsidRPr="00F80CF1">
        <w:rPr>
          <w:rFonts w:ascii="Arial" w:hAnsi="Arial" w:cs="Arial"/>
          <w:sz w:val="24"/>
        </w:rPr>
        <w:t xml:space="preserve">. 2016;7:189–200. </w:t>
      </w:r>
    </w:p>
    <w:p w14:paraId="5B5EC6A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50. </w:t>
      </w:r>
      <w:r w:rsidRPr="00F80CF1">
        <w:rPr>
          <w:rFonts w:ascii="Arial" w:hAnsi="Arial" w:cs="Arial"/>
          <w:sz w:val="24"/>
        </w:rPr>
        <w:tab/>
        <w:t xml:space="preserve">Xu D, Feng M, Chu Y, Wang S, Shete V, Tuohy KM, Liu F, Zhou X, Kamil A, Pan D, Liu H, Yang X, Yang C, Zhu B, Lv N, Xiong Q, Wang X, Sun J, Sun G, Yang Y. The Prebiotic Effects of Oats on Blood Lipids, Gut Microbiota, and Short-Chain Fatty Acids in Mildly Hypercholesterolemic Subjects Compared With Rice: A Randomized, Controlled Trial. </w:t>
      </w:r>
      <w:r w:rsidRPr="00F80CF1">
        <w:rPr>
          <w:rFonts w:ascii="Arial" w:hAnsi="Arial" w:cs="Arial"/>
          <w:i/>
          <w:iCs/>
          <w:sz w:val="24"/>
        </w:rPr>
        <w:t>Front Immunol</w:t>
      </w:r>
      <w:r w:rsidRPr="00F80CF1">
        <w:rPr>
          <w:rFonts w:ascii="Arial" w:hAnsi="Arial" w:cs="Arial"/>
          <w:sz w:val="24"/>
        </w:rPr>
        <w:t xml:space="preserve">. 2021;12:787797. </w:t>
      </w:r>
    </w:p>
    <w:p w14:paraId="5DF9172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51. </w:t>
      </w:r>
      <w:r w:rsidRPr="00F80CF1">
        <w:rPr>
          <w:rFonts w:ascii="Arial" w:hAnsi="Arial" w:cs="Arial"/>
          <w:sz w:val="24"/>
        </w:rPr>
        <w:tab/>
        <w:t xml:space="preserve">Fabiano GA, Shinn LM, Antunes AEC. Relationship between Oat Consumption, Gut Microbiota Modulation, and Short-Chain Fatty Acid Synthesis: An Integrative Review. </w:t>
      </w:r>
      <w:r w:rsidRPr="00F80CF1">
        <w:rPr>
          <w:rFonts w:ascii="Arial" w:hAnsi="Arial" w:cs="Arial"/>
          <w:i/>
          <w:iCs/>
          <w:sz w:val="24"/>
        </w:rPr>
        <w:t>Nutrients</w:t>
      </w:r>
      <w:r w:rsidRPr="00F80CF1">
        <w:rPr>
          <w:rFonts w:ascii="Arial" w:hAnsi="Arial" w:cs="Arial"/>
          <w:sz w:val="24"/>
        </w:rPr>
        <w:t xml:space="preserve">. 2023;15:3534. </w:t>
      </w:r>
    </w:p>
    <w:p w14:paraId="37F9ABA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52. </w:t>
      </w:r>
      <w:r w:rsidRPr="00F80CF1">
        <w:rPr>
          <w:rFonts w:ascii="Arial" w:hAnsi="Arial" w:cs="Arial"/>
          <w:sz w:val="24"/>
        </w:rPr>
        <w:tab/>
        <w:t xml:space="preserve">Van den Abbeele P, Detzel C, Rose A, Deyaert S, Baudot A, Warner C. Serum-Derived Bovine Immunoglobulin Stimulates SCFA Production by Specific Microbes in the Ex Vivo SIFR® Technology. </w:t>
      </w:r>
      <w:r w:rsidRPr="00F80CF1">
        <w:rPr>
          <w:rFonts w:ascii="Arial" w:hAnsi="Arial" w:cs="Arial"/>
          <w:i/>
          <w:iCs/>
          <w:sz w:val="24"/>
        </w:rPr>
        <w:t>Microorganisms</w:t>
      </w:r>
      <w:r w:rsidRPr="00F80CF1">
        <w:rPr>
          <w:rFonts w:ascii="Arial" w:hAnsi="Arial" w:cs="Arial"/>
          <w:sz w:val="24"/>
        </w:rPr>
        <w:t xml:space="preserve">. 2023;11:659. </w:t>
      </w:r>
    </w:p>
    <w:p w14:paraId="003BDF6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53. </w:t>
      </w:r>
      <w:r w:rsidRPr="00F80CF1">
        <w:rPr>
          <w:rFonts w:ascii="Arial" w:hAnsi="Arial" w:cs="Arial"/>
          <w:sz w:val="24"/>
        </w:rPr>
        <w:tab/>
        <w:t xml:space="preserve">El Hage R, Hernandez-Sanabria E, Calatayud Arroyo M, Props R, Van de Wiele T. Propionate-Producing Consortium Restores Antibiotic-Induced Dysbiosis in a Dynamic in vitro Model of the Human Intestinal Microbial Ecosystem. </w:t>
      </w:r>
      <w:r w:rsidRPr="00F80CF1">
        <w:rPr>
          <w:rFonts w:ascii="Arial" w:hAnsi="Arial" w:cs="Arial"/>
          <w:i/>
          <w:iCs/>
          <w:sz w:val="24"/>
        </w:rPr>
        <w:t>Front Microbiol</w:t>
      </w:r>
      <w:r w:rsidRPr="00F80CF1">
        <w:rPr>
          <w:rFonts w:ascii="Arial" w:hAnsi="Arial" w:cs="Arial"/>
          <w:sz w:val="24"/>
        </w:rPr>
        <w:t xml:space="preserve">. 2019;10:1206. </w:t>
      </w:r>
    </w:p>
    <w:p w14:paraId="13F5ED7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54. </w:t>
      </w:r>
      <w:r w:rsidRPr="00F80CF1">
        <w:rPr>
          <w:rFonts w:ascii="Arial" w:hAnsi="Arial" w:cs="Arial"/>
          <w:sz w:val="24"/>
        </w:rPr>
        <w:tab/>
        <w:t xml:space="preserve">Egland PG, Palmer RJ, Kolenbrander PE. Interspecies communication in Streptococcus gordonii-Veillonella atypica biofilms: signaling in flow conditions requires juxtaposition. </w:t>
      </w:r>
      <w:r w:rsidRPr="00F80CF1">
        <w:rPr>
          <w:rFonts w:ascii="Arial" w:hAnsi="Arial" w:cs="Arial"/>
          <w:i/>
          <w:iCs/>
          <w:sz w:val="24"/>
        </w:rPr>
        <w:t>Proc Natl Acad Sci U S A</w:t>
      </w:r>
      <w:r w:rsidRPr="00F80CF1">
        <w:rPr>
          <w:rFonts w:ascii="Arial" w:hAnsi="Arial" w:cs="Arial"/>
          <w:sz w:val="24"/>
        </w:rPr>
        <w:t xml:space="preserve">. 2004;101:16917–16922. </w:t>
      </w:r>
    </w:p>
    <w:p w14:paraId="5CA4153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55. </w:t>
      </w:r>
      <w:r w:rsidRPr="00F80CF1">
        <w:rPr>
          <w:rFonts w:ascii="Arial" w:hAnsi="Arial" w:cs="Arial"/>
          <w:sz w:val="24"/>
        </w:rPr>
        <w:tab/>
        <w:t xml:space="preserve">Sales KM, Reimer RA. Unlocking a novel determinant of athletic performance: The role of the gut microbiota, short-chain fatty acids, and “biotics” in exercise. </w:t>
      </w:r>
      <w:r w:rsidRPr="00F80CF1">
        <w:rPr>
          <w:rFonts w:ascii="Arial" w:hAnsi="Arial" w:cs="Arial"/>
          <w:i/>
          <w:iCs/>
          <w:sz w:val="24"/>
        </w:rPr>
        <w:t>J Sport Health Sci</w:t>
      </w:r>
      <w:r w:rsidRPr="00F80CF1">
        <w:rPr>
          <w:rFonts w:ascii="Arial" w:hAnsi="Arial" w:cs="Arial"/>
          <w:sz w:val="24"/>
        </w:rPr>
        <w:t xml:space="preserve">. 2023;12:36–44. </w:t>
      </w:r>
    </w:p>
    <w:p w14:paraId="1DCFF560"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56. </w:t>
      </w:r>
      <w:r w:rsidRPr="00F80CF1">
        <w:rPr>
          <w:rFonts w:ascii="Arial" w:hAnsi="Arial" w:cs="Arial"/>
          <w:sz w:val="24"/>
        </w:rPr>
        <w:tab/>
        <w:t xml:space="preserve">Liu Y, Heath A-L, Galland B, Rehrer N, Drummond L, Wu X-Y, Bell TJ, Lawley B, Sims IM, Tannock GW. Substrate Use Prioritization by a Coculture of Five Species of Gut Bacteria Fed Mixtures of Arabinoxylan, Xyloglucan, β-Glucan, and Pectin. </w:t>
      </w:r>
      <w:r w:rsidRPr="00F80CF1">
        <w:rPr>
          <w:rFonts w:ascii="Arial" w:hAnsi="Arial" w:cs="Arial"/>
          <w:i/>
          <w:iCs/>
          <w:sz w:val="24"/>
        </w:rPr>
        <w:t>Appl Environ Microbiol</w:t>
      </w:r>
      <w:r w:rsidRPr="00F80CF1">
        <w:rPr>
          <w:rFonts w:ascii="Arial" w:hAnsi="Arial" w:cs="Arial"/>
          <w:sz w:val="24"/>
        </w:rPr>
        <w:t xml:space="preserve">. 2020;86:e01905-19. </w:t>
      </w:r>
    </w:p>
    <w:p w14:paraId="4E05279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57. </w:t>
      </w:r>
      <w:r w:rsidRPr="00F80CF1">
        <w:rPr>
          <w:rFonts w:ascii="Arial" w:hAnsi="Arial" w:cs="Arial"/>
          <w:sz w:val="24"/>
        </w:rPr>
        <w:tab/>
        <w:t xml:space="preserve">Lanjekar VB, Marathe NP, Ramana VV, Shouche YS, Ranade DR. Megasphaera indica sp. nov., an obligate anaerobic bacteria isolated from human faeces. </w:t>
      </w:r>
      <w:r w:rsidRPr="00F80CF1">
        <w:rPr>
          <w:rFonts w:ascii="Arial" w:hAnsi="Arial" w:cs="Arial"/>
          <w:i/>
          <w:iCs/>
          <w:sz w:val="24"/>
        </w:rPr>
        <w:t>Int J Syst Evol Microbiol</w:t>
      </w:r>
      <w:r w:rsidRPr="00F80CF1">
        <w:rPr>
          <w:rFonts w:ascii="Arial" w:hAnsi="Arial" w:cs="Arial"/>
          <w:sz w:val="24"/>
        </w:rPr>
        <w:t xml:space="preserve">. 2014;64:2250–2256. </w:t>
      </w:r>
    </w:p>
    <w:p w14:paraId="36CD6D4E" w14:textId="77777777" w:rsidR="00F80CF1" w:rsidRPr="00F80CF1" w:rsidRDefault="00F80CF1" w:rsidP="00F80CF1">
      <w:pPr>
        <w:pStyle w:val="Bibliography"/>
        <w:rPr>
          <w:rFonts w:ascii="Arial" w:hAnsi="Arial" w:cs="Arial"/>
          <w:sz w:val="24"/>
        </w:rPr>
      </w:pPr>
      <w:r w:rsidRPr="00F80CF1">
        <w:rPr>
          <w:rFonts w:ascii="Arial" w:hAnsi="Arial" w:cs="Arial"/>
          <w:sz w:val="24"/>
        </w:rPr>
        <w:lastRenderedPageBreak/>
        <w:t xml:space="preserve">58. </w:t>
      </w:r>
      <w:r w:rsidRPr="00F80CF1">
        <w:rPr>
          <w:rFonts w:ascii="Arial" w:hAnsi="Arial" w:cs="Arial"/>
          <w:sz w:val="24"/>
        </w:rPr>
        <w:tab/>
        <w:t xml:space="preserve">Shetty SA, Marathe NP, Lanjekar V, Ranade D, Shouche YS. Comparative genome analysis of Megasphaera sp. reveals niche specialization and its potential role in the human gut. </w:t>
      </w:r>
      <w:r w:rsidRPr="00F80CF1">
        <w:rPr>
          <w:rFonts w:ascii="Arial" w:hAnsi="Arial" w:cs="Arial"/>
          <w:i/>
          <w:iCs/>
          <w:sz w:val="24"/>
        </w:rPr>
        <w:t>PLoS One</w:t>
      </w:r>
      <w:r w:rsidRPr="00F80CF1">
        <w:rPr>
          <w:rFonts w:ascii="Arial" w:hAnsi="Arial" w:cs="Arial"/>
          <w:sz w:val="24"/>
        </w:rPr>
        <w:t xml:space="preserve">. 2013;8:e79353. </w:t>
      </w:r>
    </w:p>
    <w:p w14:paraId="01E716D1"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59. </w:t>
      </w:r>
      <w:r w:rsidRPr="00F80CF1">
        <w:rPr>
          <w:rFonts w:ascii="Arial" w:hAnsi="Arial" w:cs="Arial"/>
          <w:sz w:val="24"/>
        </w:rPr>
        <w:tab/>
        <w:t xml:space="preserve">Maki JJ, Looft T. Megasphaera stantonii sp. nov., a butyrate-producing bacterium isolated from the cecum of a healthy chicken. </w:t>
      </w:r>
      <w:r w:rsidRPr="00F80CF1">
        <w:rPr>
          <w:rFonts w:ascii="Arial" w:hAnsi="Arial" w:cs="Arial"/>
          <w:i/>
          <w:iCs/>
          <w:sz w:val="24"/>
        </w:rPr>
        <w:t>Int J Syst Evol Microbiol</w:t>
      </w:r>
      <w:r w:rsidRPr="00F80CF1">
        <w:rPr>
          <w:rFonts w:ascii="Arial" w:hAnsi="Arial" w:cs="Arial"/>
          <w:sz w:val="24"/>
        </w:rPr>
        <w:t xml:space="preserve">. 2018;68:3409–3415. </w:t>
      </w:r>
    </w:p>
    <w:p w14:paraId="1962FC5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60. </w:t>
      </w:r>
      <w:r w:rsidRPr="00F80CF1">
        <w:rPr>
          <w:rFonts w:ascii="Arial" w:hAnsi="Arial" w:cs="Arial"/>
          <w:sz w:val="24"/>
        </w:rPr>
        <w:tab/>
        <w:t xml:space="preserve">Singh V, Lee G, Son H, Koh H, Kim ES, Unno T, Shin J-H. Butyrate producers, “The Sentinel of Gut”: Their intestinal significance with and beyond butyrate, and prospective use as microbial therapeutics. </w:t>
      </w:r>
      <w:r w:rsidRPr="00F80CF1">
        <w:rPr>
          <w:rFonts w:ascii="Arial" w:hAnsi="Arial" w:cs="Arial"/>
          <w:i/>
          <w:iCs/>
          <w:sz w:val="24"/>
        </w:rPr>
        <w:t>Front Microbiol</w:t>
      </w:r>
      <w:r w:rsidRPr="00F80CF1">
        <w:rPr>
          <w:rFonts w:ascii="Arial" w:hAnsi="Arial" w:cs="Arial"/>
          <w:sz w:val="24"/>
        </w:rPr>
        <w:t xml:space="preserve">. 2022;13:1103836. </w:t>
      </w:r>
    </w:p>
    <w:p w14:paraId="05782441"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61. </w:t>
      </w:r>
      <w:r w:rsidRPr="00F80CF1">
        <w:rPr>
          <w:rFonts w:ascii="Arial" w:hAnsi="Arial" w:cs="Arial"/>
          <w:sz w:val="24"/>
        </w:rPr>
        <w:tab/>
        <w:t xml:space="preserve">Kattel A, Morell I, Aro V, Lahtvee P-J, Vilu R, Jõers A, Nahku R. Detailed analysis of metabolism reveals growth-rate-promoting interactions between Anaerostipes caccae and Bacteroides spp. </w:t>
      </w:r>
      <w:r w:rsidRPr="00F80CF1">
        <w:rPr>
          <w:rFonts w:ascii="Arial" w:hAnsi="Arial" w:cs="Arial"/>
          <w:i/>
          <w:iCs/>
          <w:sz w:val="24"/>
        </w:rPr>
        <w:t>Anaerobe</w:t>
      </w:r>
      <w:r w:rsidRPr="00F80CF1">
        <w:rPr>
          <w:rFonts w:ascii="Arial" w:hAnsi="Arial" w:cs="Arial"/>
          <w:sz w:val="24"/>
        </w:rPr>
        <w:t xml:space="preserve">. 2023;79:102680. </w:t>
      </w:r>
    </w:p>
    <w:p w14:paraId="6D13790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62. </w:t>
      </w:r>
      <w:r w:rsidRPr="00F80CF1">
        <w:rPr>
          <w:rFonts w:ascii="Arial" w:hAnsi="Arial" w:cs="Arial"/>
          <w:sz w:val="24"/>
        </w:rPr>
        <w:tab/>
        <w:t xml:space="preserve">Kadowaki R, Tanno H, Maeno S, Endo A. Spore-forming properties and enhanced oxygen tolerance of butyrate-producing Anaerostipes spp. </w:t>
      </w:r>
      <w:r w:rsidRPr="00F80CF1">
        <w:rPr>
          <w:rFonts w:ascii="Arial" w:hAnsi="Arial" w:cs="Arial"/>
          <w:i/>
          <w:iCs/>
          <w:sz w:val="24"/>
        </w:rPr>
        <w:t>Anaerobe</w:t>
      </w:r>
      <w:r w:rsidRPr="00F80CF1">
        <w:rPr>
          <w:rFonts w:ascii="Arial" w:hAnsi="Arial" w:cs="Arial"/>
          <w:sz w:val="24"/>
        </w:rPr>
        <w:t xml:space="preserve">. 2023;82:102752. </w:t>
      </w:r>
    </w:p>
    <w:p w14:paraId="1F16C9D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63. </w:t>
      </w:r>
      <w:r w:rsidRPr="00F80CF1">
        <w:rPr>
          <w:rFonts w:ascii="Arial" w:hAnsi="Arial" w:cs="Arial"/>
          <w:sz w:val="24"/>
        </w:rPr>
        <w:tab/>
        <w:t xml:space="preserve">Lee J-Y, Kang W, Shin N-R, Hyun D-W, Kim PS, Kim HS, Lee J-Y, Tak EJ, Sung H, Bae J-W. Anaerostipes hominis sp. nov., a novel butyrate-producing bacteria isolated from faeces of a patient with Crohn’s disease. </w:t>
      </w:r>
      <w:r w:rsidRPr="00F80CF1">
        <w:rPr>
          <w:rFonts w:ascii="Arial" w:hAnsi="Arial" w:cs="Arial"/>
          <w:i/>
          <w:iCs/>
          <w:sz w:val="24"/>
        </w:rPr>
        <w:t>Int J Syst Evol Microbiol</w:t>
      </w:r>
      <w:r w:rsidRPr="00F80CF1">
        <w:rPr>
          <w:rFonts w:ascii="Arial" w:hAnsi="Arial" w:cs="Arial"/>
          <w:sz w:val="24"/>
        </w:rPr>
        <w:t xml:space="preserve">. 2021;71. </w:t>
      </w:r>
    </w:p>
    <w:p w14:paraId="484A6E9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64. </w:t>
      </w:r>
      <w:r w:rsidRPr="00F80CF1">
        <w:rPr>
          <w:rFonts w:ascii="Arial" w:hAnsi="Arial" w:cs="Arial"/>
          <w:sz w:val="24"/>
        </w:rPr>
        <w:tab/>
        <w:t xml:space="preserve">Choo JM, Murphy KJ, Wade AT, Wang Y, Bracci EL, Davis CR, Dyer KA, Woodman RJ, Hodgson JM, Rogers GB. Interactions between Mediterranean Diet Supplemented with Dairy Foods and the Gut Microbiota Influence Cardiovascular Health in an Australian Population. </w:t>
      </w:r>
      <w:r w:rsidRPr="00F80CF1">
        <w:rPr>
          <w:rFonts w:ascii="Arial" w:hAnsi="Arial" w:cs="Arial"/>
          <w:i/>
          <w:iCs/>
          <w:sz w:val="24"/>
        </w:rPr>
        <w:t>Nutrients</w:t>
      </w:r>
      <w:r w:rsidRPr="00F80CF1">
        <w:rPr>
          <w:rFonts w:ascii="Arial" w:hAnsi="Arial" w:cs="Arial"/>
          <w:sz w:val="24"/>
        </w:rPr>
        <w:t xml:space="preserve">. 2023;15:3645. </w:t>
      </w:r>
    </w:p>
    <w:p w14:paraId="6A823C4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65. </w:t>
      </w:r>
      <w:r w:rsidRPr="00F80CF1">
        <w:rPr>
          <w:rFonts w:ascii="Arial" w:hAnsi="Arial" w:cs="Arial"/>
          <w:sz w:val="24"/>
        </w:rPr>
        <w:tab/>
        <w:t xml:space="preserve">Rivière A, Selak M, Lantin D, Leroy F, De Vuyst L. Bifidobacteria and Butyrate-Producing Colon Bacteria: Importance and Strategies for Their Stimulation in the Human Gut. </w:t>
      </w:r>
      <w:r w:rsidRPr="00F80CF1">
        <w:rPr>
          <w:rFonts w:ascii="Arial" w:hAnsi="Arial" w:cs="Arial"/>
          <w:i/>
          <w:iCs/>
          <w:sz w:val="24"/>
        </w:rPr>
        <w:t>Front Microbiol</w:t>
      </w:r>
      <w:r w:rsidRPr="00F80CF1">
        <w:rPr>
          <w:rFonts w:ascii="Arial" w:hAnsi="Arial" w:cs="Arial"/>
          <w:sz w:val="24"/>
        </w:rPr>
        <w:t xml:space="preserve">. 2016;7:979. </w:t>
      </w:r>
    </w:p>
    <w:p w14:paraId="214F2EF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66. </w:t>
      </w:r>
      <w:r w:rsidRPr="00F80CF1">
        <w:rPr>
          <w:rFonts w:ascii="Arial" w:hAnsi="Arial" w:cs="Arial"/>
          <w:sz w:val="24"/>
        </w:rPr>
        <w:tab/>
        <w:t xml:space="preserve">De Vuyst L, Moens F, Selak M, Rivière A, Leroy F. Summer Meeting 2013: growth and physiology of bifidobacteria. </w:t>
      </w:r>
      <w:r w:rsidRPr="00F80CF1">
        <w:rPr>
          <w:rFonts w:ascii="Arial" w:hAnsi="Arial" w:cs="Arial"/>
          <w:i/>
          <w:iCs/>
          <w:sz w:val="24"/>
        </w:rPr>
        <w:t>J Appl Microbiol</w:t>
      </w:r>
      <w:r w:rsidRPr="00F80CF1">
        <w:rPr>
          <w:rFonts w:ascii="Arial" w:hAnsi="Arial" w:cs="Arial"/>
          <w:sz w:val="24"/>
        </w:rPr>
        <w:t xml:space="preserve">. 2014;116:477–491. </w:t>
      </w:r>
    </w:p>
    <w:p w14:paraId="75C94B8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67. </w:t>
      </w:r>
      <w:r w:rsidRPr="00F80CF1">
        <w:rPr>
          <w:rFonts w:ascii="Arial" w:hAnsi="Arial" w:cs="Arial"/>
          <w:sz w:val="24"/>
        </w:rPr>
        <w:tab/>
        <w:t xml:space="preserve">Nagara Y, Fujii D, Takada T, Sato-Yamazaki M, Odani T, Oishi K. Selective induction of human gut-associated acetogenic/butyrogenic microbiota based on specific microbial colonization of indigestible starch granules. </w:t>
      </w:r>
      <w:r w:rsidRPr="00F80CF1">
        <w:rPr>
          <w:rFonts w:ascii="Arial" w:hAnsi="Arial" w:cs="Arial"/>
          <w:i/>
          <w:iCs/>
          <w:sz w:val="24"/>
        </w:rPr>
        <w:t>ISME J</w:t>
      </w:r>
      <w:r w:rsidRPr="00F80CF1">
        <w:rPr>
          <w:rFonts w:ascii="Arial" w:hAnsi="Arial" w:cs="Arial"/>
          <w:sz w:val="24"/>
        </w:rPr>
        <w:t xml:space="preserve">. 2022;16:1502–1511. </w:t>
      </w:r>
    </w:p>
    <w:p w14:paraId="4664B5F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68. </w:t>
      </w:r>
      <w:r w:rsidRPr="00F80CF1">
        <w:rPr>
          <w:rFonts w:ascii="Arial" w:hAnsi="Arial" w:cs="Arial"/>
          <w:sz w:val="24"/>
        </w:rPr>
        <w:tab/>
        <w:t xml:space="preserve">Parascinet O, Mas S, Hang T, Llavero C, Lorenzo Ó, Ruiz-Tovar J. A Pilot Study: The Reduction in Fecal Acetate in Obese Patients after Probiotic Administration and Percutaneous Electrical Neurostimulation. </w:t>
      </w:r>
      <w:r w:rsidRPr="00F80CF1">
        <w:rPr>
          <w:rFonts w:ascii="Arial" w:hAnsi="Arial" w:cs="Arial"/>
          <w:i/>
          <w:iCs/>
          <w:sz w:val="24"/>
        </w:rPr>
        <w:t>Nutrients</w:t>
      </w:r>
      <w:r w:rsidRPr="00F80CF1">
        <w:rPr>
          <w:rFonts w:ascii="Arial" w:hAnsi="Arial" w:cs="Arial"/>
          <w:sz w:val="24"/>
        </w:rPr>
        <w:t xml:space="preserve">. 2023;15:1067. </w:t>
      </w:r>
    </w:p>
    <w:p w14:paraId="20A6B3A8"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69. </w:t>
      </w:r>
      <w:r w:rsidRPr="00F80CF1">
        <w:rPr>
          <w:rFonts w:ascii="Arial" w:hAnsi="Arial" w:cs="Arial"/>
          <w:sz w:val="24"/>
        </w:rPr>
        <w:tab/>
        <w:t xml:space="preserve">Zhu G, Zhao J, Zhang H, Chen W, Wang G. Administration of Bifidobacterium breve Improves the Brain Function of Aβ1-42-Treated Mice via the Modulation of the Gut Microbiome. </w:t>
      </w:r>
      <w:r w:rsidRPr="00F80CF1">
        <w:rPr>
          <w:rFonts w:ascii="Arial" w:hAnsi="Arial" w:cs="Arial"/>
          <w:i/>
          <w:iCs/>
          <w:sz w:val="24"/>
        </w:rPr>
        <w:t>Nutrients</w:t>
      </w:r>
      <w:r w:rsidRPr="00F80CF1">
        <w:rPr>
          <w:rFonts w:ascii="Arial" w:hAnsi="Arial" w:cs="Arial"/>
          <w:sz w:val="24"/>
        </w:rPr>
        <w:t xml:space="preserve">. 2021;13:1602. </w:t>
      </w:r>
    </w:p>
    <w:p w14:paraId="3646FA77" w14:textId="77777777" w:rsidR="00F80CF1" w:rsidRPr="00F80CF1" w:rsidRDefault="00F80CF1" w:rsidP="00F80CF1">
      <w:pPr>
        <w:pStyle w:val="Bibliography"/>
        <w:rPr>
          <w:rFonts w:ascii="Arial" w:hAnsi="Arial" w:cs="Arial"/>
          <w:sz w:val="24"/>
        </w:rPr>
      </w:pPr>
      <w:r w:rsidRPr="00F80CF1">
        <w:rPr>
          <w:rFonts w:ascii="Arial" w:hAnsi="Arial" w:cs="Arial"/>
          <w:sz w:val="24"/>
        </w:rPr>
        <w:lastRenderedPageBreak/>
        <w:t xml:space="preserve">70. </w:t>
      </w:r>
      <w:r w:rsidRPr="00F80CF1">
        <w:rPr>
          <w:rFonts w:ascii="Arial" w:hAnsi="Arial" w:cs="Arial"/>
          <w:sz w:val="24"/>
        </w:rPr>
        <w:tab/>
        <w:t xml:space="preserve">Tian P, O’Riordan KJ, Lee Y-K, Wang G, Zhao J, Zhang H, Cryan JF, Chen W. Towards a psychobiotic therapy for depression: Bifidobacterium breve CCFM1025 reverses chronic stress-induced depressive symptoms and gut microbial abnormalities in mice. </w:t>
      </w:r>
      <w:r w:rsidRPr="00F80CF1">
        <w:rPr>
          <w:rFonts w:ascii="Arial" w:hAnsi="Arial" w:cs="Arial"/>
          <w:i/>
          <w:iCs/>
          <w:sz w:val="24"/>
        </w:rPr>
        <w:t>Neurobiol Stress</w:t>
      </w:r>
      <w:r w:rsidRPr="00F80CF1">
        <w:rPr>
          <w:rFonts w:ascii="Arial" w:hAnsi="Arial" w:cs="Arial"/>
          <w:sz w:val="24"/>
        </w:rPr>
        <w:t xml:space="preserve">. 2020;12:100216. </w:t>
      </w:r>
    </w:p>
    <w:p w14:paraId="5C03772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71. </w:t>
      </w:r>
      <w:r w:rsidRPr="00F80CF1">
        <w:rPr>
          <w:rFonts w:ascii="Arial" w:hAnsi="Arial" w:cs="Arial"/>
          <w:sz w:val="24"/>
        </w:rPr>
        <w:tab/>
        <w:t xml:space="preserve">Zhu G, Guo M, Zhao J, Zhang H, Wang G, Chen W. Bifidobacterium breve intervention combined with environmental enrichment alleviates cognitive impairment by regulating the gut microbiota and microbial metabolites in Alzheimer’s disease mice. </w:t>
      </w:r>
      <w:r w:rsidRPr="00F80CF1">
        <w:rPr>
          <w:rFonts w:ascii="Arial" w:hAnsi="Arial" w:cs="Arial"/>
          <w:i/>
          <w:iCs/>
          <w:sz w:val="24"/>
        </w:rPr>
        <w:t>Front Immunol</w:t>
      </w:r>
      <w:r w:rsidRPr="00F80CF1">
        <w:rPr>
          <w:rFonts w:ascii="Arial" w:hAnsi="Arial" w:cs="Arial"/>
          <w:sz w:val="24"/>
        </w:rPr>
        <w:t xml:space="preserve">. 2022;13:1013664. </w:t>
      </w:r>
    </w:p>
    <w:p w14:paraId="0BFFF24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72. </w:t>
      </w:r>
      <w:r w:rsidRPr="00F80CF1">
        <w:rPr>
          <w:rFonts w:ascii="Arial" w:hAnsi="Arial" w:cs="Arial"/>
          <w:sz w:val="24"/>
        </w:rPr>
        <w:tab/>
        <w:t xml:space="preserve">Bao W-H, Yang W-L, Su C-Y, Lu X-H, He L, Zhang A-H. Relationship between gut microbiota and vascular calcification in hemodialysis patients. </w:t>
      </w:r>
      <w:r w:rsidRPr="00F80CF1">
        <w:rPr>
          <w:rFonts w:ascii="Arial" w:hAnsi="Arial" w:cs="Arial"/>
          <w:i/>
          <w:iCs/>
          <w:sz w:val="24"/>
        </w:rPr>
        <w:t>Ren Fail</w:t>
      </w:r>
      <w:r w:rsidRPr="00F80CF1">
        <w:rPr>
          <w:rFonts w:ascii="Arial" w:hAnsi="Arial" w:cs="Arial"/>
          <w:sz w:val="24"/>
        </w:rPr>
        <w:t xml:space="preserve">. 2023;45:2148538. </w:t>
      </w:r>
    </w:p>
    <w:p w14:paraId="74FE9470"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73. </w:t>
      </w:r>
      <w:r w:rsidRPr="00F80CF1">
        <w:rPr>
          <w:rFonts w:ascii="Arial" w:hAnsi="Arial" w:cs="Arial"/>
          <w:sz w:val="24"/>
        </w:rPr>
        <w:tab/>
        <w:t xml:space="preserve">Sato N, Kakuta M, Hasegawa T, Yamaguchi R, Uchino E, Murashita K, Nakaji S, Imoto S, Yanagita M, Okuno Y. Metagenomic profiling of gut microbiome in early chronic kidney disease. </w:t>
      </w:r>
      <w:r w:rsidRPr="00F80CF1">
        <w:rPr>
          <w:rFonts w:ascii="Arial" w:hAnsi="Arial" w:cs="Arial"/>
          <w:i/>
          <w:iCs/>
          <w:sz w:val="24"/>
        </w:rPr>
        <w:t>Nephrol Dial Transplant</w:t>
      </w:r>
      <w:r w:rsidRPr="00F80CF1">
        <w:rPr>
          <w:rFonts w:ascii="Arial" w:hAnsi="Arial" w:cs="Arial"/>
          <w:sz w:val="24"/>
        </w:rPr>
        <w:t xml:space="preserve">. 2021;36:1675–1684. </w:t>
      </w:r>
    </w:p>
    <w:p w14:paraId="6591762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74. </w:t>
      </w:r>
      <w:r w:rsidRPr="00F80CF1">
        <w:rPr>
          <w:rFonts w:ascii="Arial" w:hAnsi="Arial" w:cs="Arial"/>
          <w:sz w:val="24"/>
        </w:rPr>
        <w:tab/>
        <w:t xml:space="preserve">McFarlane C, Krishnasamy R, Stanton T, Savill E, Snelson M, Mihala G, Morrison M, Johnson DW, Campbell KL. Diet Quality and Protein-Bound Uraemic Toxins: Investigation of Novel Risk Factors and the Role of Microbiome in Chronic Kidney Disease. </w:t>
      </w:r>
      <w:r w:rsidRPr="00F80CF1">
        <w:rPr>
          <w:rFonts w:ascii="Arial" w:hAnsi="Arial" w:cs="Arial"/>
          <w:i/>
          <w:iCs/>
          <w:sz w:val="24"/>
        </w:rPr>
        <w:t>J Ren Nutr</w:t>
      </w:r>
      <w:r w:rsidRPr="00F80CF1">
        <w:rPr>
          <w:rFonts w:ascii="Arial" w:hAnsi="Arial" w:cs="Arial"/>
          <w:sz w:val="24"/>
        </w:rPr>
        <w:t xml:space="preserve">. 2022;32:542–551. </w:t>
      </w:r>
    </w:p>
    <w:p w14:paraId="186FDFB0"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75. </w:t>
      </w:r>
      <w:r w:rsidRPr="00F80CF1">
        <w:rPr>
          <w:rFonts w:ascii="Arial" w:hAnsi="Arial" w:cs="Arial"/>
          <w:sz w:val="24"/>
        </w:rPr>
        <w:tab/>
        <w:t xml:space="preserve">Hayashi H, Shibata K, Sakamoto M, Tomita S, Benno Y. Prevotella copri sp. nov. and Prevotella stercorea sp. nov., isolated from human faeces. </w:t>
      </w:r>
      <w:r w:rsidRPr="00F80CF1">
        <w:rPr>
          <w:rFonts w:ascii="Arial" w:hAnsi="Arial" w:cs="Arial"/>
          <w:i/>
          <w:iCs/>
          <w:sz w:val="24"/>
        </w:rPr>
        <w:t>Int J Syst Evol Microbiol</w:t>
      </w:r>
      <w:r w:rsidRPr="00F80CF1">
        <w:rPr>
          <w:rFonts w:ascii="Arial" w:hAnsi="Arial" w:cs="Arial"/>
          <w:sz w:val="24"/>
        </w:rPr>
        <w:t xml:space="preserve">. 2007;57:941–946. </w:t>
      </w:r>
    </w:p>
    <w:p w14:paraId="16E52B0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76. </w:t>
      </w:r>
      <w:r w:rsidRPr="00F80CF1">
        <w:rPr>
          <w:rFonts w:ascii="Arial" w:hAnsi="Arial" w:cs="Arial"/>
          <w:sz w:val="24"/>
        </w:rPr>
        <w:tab/>
        <w:t xml:space="preserve">Jiang L, Shang M, Yu S, Liu Y, Zhang H, Zhou Y, Wang M, Wang T, Li H, Liu Z, Zhang X. A high-fiber diet synergizes with Prevotella copri and exacerbates rheumatoid arthritis. </w:t>
      </w:r>
      <w:r w:rsidRPr="00F80CF1">
        <w:rPr>
          <w:rFonts w:ascii="Arial" w:hAnsi="Arial" w:cs="Arial"/>
          <w:i/>
          <w:iCs/>
          <w:sz w:val="24"/>
        </w:rPr>
        <w:t>Cell Mol Immunol</w:t>
      </w:r>
      <w:r w:rsidRPr="00F80CF1">
        <w:rPr>
          <w:rFonts w:ascii="Arial" w:hAnsi="Arial" w:cs="Arial"/>
          <w:sz w:val="24"/>
        </w:rPr>
        <w:t xml:space="preserve">. 2022;19:1414–1424. </w:t>
      </w:r>
    </w:p>
    <w:p w14:paraId="70B02E9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77. </w:t>
      </w:r>
      <w:r w:rsidRPr="00F80CF1">
        <w:rPr>
          <w:rFonts w:ascii="Arial" w:hAnsi="Arial" w:cs="Arial"/>
          <w:sz w:val="24"/>
        </w:rPr>
        <w:tab/>
        <w:t xml:space="preserve">Franke T, Deppenmeier U. Physiology and central carbon metabolism of the gut bacterium Prevotella copri. </w:t>
      </w:r>
      <w:r w:rsidRPr="00F80CF1">
        <w:rPr>
          <w:rFonts w:ascii="Arial" w:hAnsi="Arial" w:cs="Arial"/>
          <w:i/>
          <w:iCs/>
          <w:sz w:val="24"/>
        </w:rPr>
        <w:t>Mol Microbiol</w:t>
      </w:r>
      <w:r w:rsidRPr="00F80CF1">
        <w:rPr>
          <w:rFonts w:ascii="Arial" w:hAnsi="Arial" w:cs="Arial"/>
          <w:sz w:val="24"/>
        </w:rPr>
        <w:t xml:space="preserve">. 2018;109:528–540. </w:t>
      </w:r>
    </w:p>
    <w:p w14:paraId="31F9280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78. </w:t>
      </w:r>
      <w:r w:rsidRPr="00F80CF1">
        <w:rPr>
          <w:rFonts w:ascii="Arial" w:hAnsi="Arial" w:cs="Arial"/>
          <w:sz w:val="24"/>
        </w:rPr>
        <w:tab/>
        <w:t xml:space="preserve">Mountfort DO, Roberton AM. Origins of fermentation products formed during growth of Bacteroides ruminicola on glucose. </w:t>
      </w:r>
      <w:r w:rsidRPr="00F80CF1">
        <w:rPr>
          <w:rFonts w:ascii="Arial" w:hAnsi="Arial" w:cs="Arial"/>
          <w:i/>
          <w:iCs/>
          <w:sz w:val="24"/>
        </w:rPr>
        <w:t>J Gen Microbiol</w:t>
      </w:r>
      <w:r w:rsidRPr="00F80CF1">
        <w:rPr>
          <w:rFonts w:ascii="Arial" w:hAnsi="Arial" w:cs="Arial"/>
          <w:sz w:val="24"/>
        </w:rPr>
        <w:t xml:space="preserve">. 1978;106:353–360. </w:t>
      </w:r>
    </w:p>
    <w:p w14:paraId="3E81A36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79. </w:t>
      </w:r>
      <w:r w:rsidRPr="00F80CF1">
        <w:rPr>
          <w:rFonts w:ascii="Arial" w:hAnsi="Arial" w:cs="Arial"/>
          <w:sz w:val="24"/>
        </w:rPr>
        <w:tab/>
        <w:t xml:space="preserve">Hoek MJA van, Merks RMH. Emergence of microbial diversity due to cross-feeding interactions in a spatial model of gut microbial metabolism. </w:t>
      </w:r>
      <w:r w:rsidRPr="00F80CF1">
        <w:rPr>
          <w:rFonts w:ascii="Arial" w:hAnsi="Arial" w:cs="Arial"/>
          <w:i/>
          <w:iCs/>
          <w:sz w:val="24"/>
        </w:rPr>
        <w:t>BMC Syst Biol</w:t>
      </w:r>
      <w:r w:rsidRPr="00F80CF1">
        <w:rPr>
          <w:rFonts w:ascii="Arial" w:hAnsi="Arial" w:cs="Arial"/>
          <w:sz w:val="24"/>
        </w:rPr>
        <w:t xml:space="preserve">. 2017;11:56. </w:t>
      </w:r>
    </w:p>
    <w:p w14:paraId="0E679BB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80. </w:t>
      </w:r>
      <w:r w:rsidRPr="00F80CF1">
        <w:rPr>
          <w:rFonts w:ascii="Arial" w:hAnsi="Arial" w:cs="Arial"/>
          <w:sz w:val="24"/>
        </w:rPr>
        <w:tab/>
        <w:t xml:space="preserve">Sharon G, Garg N, Debelius J, Knight R, Dorrestein PC, Mazmanian SK. Specialized metabolites from the microbiome in health and disease. </w:t>
      </w:r>
      <w:r w:rsidRPr="00F80CF1">
        <w:rPr>
          <w:rFonts w:ascii="Arial" w:hAnsi="Arial" w:cs="Arial"/>
          <w:i/>
          <w:iCs/>
          <w:sz w:val="24"/>
        </w:rPr>
        <w:t>Cell Metab</w:t>
      </w:r>
      <w:r w:rsidRPr="00F80CF1">
        <w:rPr>
          <w:rFonts w:ascii="Arial" w:hAnsi="Arial" w:cs="Arial"/>
          <w:sz w:val="24"/>
        </w:rPr>
        <w:t xml:space="preserve">. 2014;20:719–730. </w:t>
      </w:r>
    </w:p>
    <w:p w14:paraId="37CD6C6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81. </w:t>
      </w:r>
      <w:r w:rsidRPr="00F80CF1">
        <w:rPr>
          <w:rFonts w:ascii="Arial" w:hAnsi="Arial" w:cs="Arial"/>
          <w:sz w:val="24"/>
        </w:rPr>
        <w:tab/>
        <w:t xml:space="preserve">Moon J, Lee AR, Kim H, Jhun J, Lee S-Y, Choi JW, Jeong Y, Park MS, Ji GE, Cho M-L, Park S-H. Faecalibacterium prausnitzii alleviates inflammatory arthritis and </w:t>
      </w:r>
      <w:r w:rsidRPr="00F80CF1">
        <w:rPr>
          <w:rFonts w:ascii="Arial" w:hAnsi="Arial" w:cs="Arial"/>
          <w:sz w:val="24"/>
        </w:rPr>
        <w:lastRenderedPageBreak/>
        <w:t xml:space="preserve">regulates IL-17 production, short chain fatty acids, and the intestinal microbial flora in experimental mouse model for rheumatoid arthritis. </w:t>
      </w:r>
      <w:r w:rsidRPr="00F80CF1">
        <w:rPr>
          <w:rFonts w:ascii="Arial" w:hAnsi="Arial" w:cs="Arial"/>
          <w:i/>
          <w:iCs/>
          <w:sz w:val="24"/>
        </w:rPr>
        <w:t>Arthritis Res Ther</w:t>
      </w:r>
      <w:r w:rsidRPr="00F80CF1">
        <w:rPr>
          <w:rFonts w:ascii="Arial" w:hAnsi="Arial" w:cs="Arial"/>
          <w:sz w:val="24"/>
        </w:rPr>
        <w:t xml:space="preserve">. 2023;25:130. </w:t>
      </w:r>
    </w:p>
    <w:p w14:paraId="5EC4C31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82. </w:t>
      </w:r>
      <w:r w:rsidRPr="00F80CF1">
        <w:rPr>
          <w:rFonts w:ascii="Arial" w:hAnsi="Arial" w:cs="Arial"/>
          <w:sz w:val="24"/>
        </w:rPr>
        <w:tab/>
        <w:t xml:space="preserve">Ferreira-Halder CV, Faria AV de S, Andrade SS. Action and function of Faecalibacterium prausnitzii in health and disease. </w:t>
      </w:r>
      <w:r w:rsidRPr="00F80CF1">
        <w:rPr>
          <w:rFonts w:ascii="Arial" w:hAnsi="Arial" w:cs="Arial"/>
          <w:i/>
          <w:iCs/>
          <w:sz w:val="24"/>
        </w:rPr>
        <w:t>Best Pract Res Clin Gastroenterol</w:t>
      </w:r>
      <w:r w:rsidRPr="00F80CF1">
        <w:rPr>
          <w:rFonts w:ascii="Arial" w:hAnsi="Arial" w:cs="Arial"/>
          <w:sz w:val="24"/>
        </w:rPr>
        <w:t xml:space="preserve">. 2017;31:643–648. </w:t>
      </w:r>
    </w:p>
    <w:p w14:paraId="3D7C7BF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83. </w:t>
      </w:r>
      <w:r w:rsidRPr="00F80CF1">
        <w:rPr>
          <w:rFonts w:ascii="Arial" w:hAnsi="Arial" w:cs="Arial"/>
          <w:sz w:val="24"/>
        </w:rPr>
        <w:tab/>
        <w:t xml:space="preserve">Chichlowski M, Shah N, Wampler JL, Wu SS, Vanderhoof JA. Bifidobacterium longum Subspecies infantis (B. infantis) in Pediatric Nutrition: Current State of Knowledge. </w:t>
      </w:r>
      <w:r w:rsidRPr="00F80CF1">
        <w:rPr>
          <w:rFonts w:ascii="Arial" w:hAnsi="Arial" w:cs="Arial"/>
          <w:i/>
          <w:iCs/>
          <w:sz w:val="24"/>
        </w:rPr>
        <w:t>Nutrients</w:t>
      </w:r>
      <w:r w:rsidRPr="00F80CF1">
        <w:rPr>
          <w:rFonts w:ascii="Arial" w:hAnsi="Arial" w:cs="Arial"/>
          <w:sz w:val="24"/>
        </w:rPr>
        <w:t xml:space="preserve">. 2020;12:1581. </w:t>
      </w:r>
    </w:p>
    <w:p w14:paraId="6BAC277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84. </w:t>
      </w:r>
      <w:r w:rsidRPr="00F80CF1">
        <w:rPr>
          <w:rFonts w:ascii="Arial" w:hAnsi="Arial" w:cs="Arial"/>
          <w:sz w:val="24"/>
        </w:rPr>
        <w:tab/>
        <w:t xml:space="preserve">Yuan F, Ni H, Asche CV, Kim M, Walayat S, Ren J. Efficacy of Bifidobacterium infantis 35624 in patients with irritable bowel syndrome: a meta-analysis. </w:t>
      </w:r>
      <w:r w:rsidRPr="00F80CF1">
        <w:rPr>
          <w:rFonts w:ascii="Arial" w:hAnsi="Arial" w:cs="Arial"/>
          <w:i/>
          <w:iCs/>
          <w:sz w:val="24"/>
        </w:rPr>
        <w:t>Curr Med Res Opin</w:t>
      </w:r>
      <w:r w:rsidRPr="00F80CF1">
        <w:rPr>
          <w:rFonts w:ascii="Arial" w:hAnsi="Arial" w:cs="Arial"/>
          <w:sz w:val="24"/>
        </w:rPr>
        <w:t xml:space="preserve">. 2017;33:1191–1197. </w:t>
      </w:r>
    </w:p>
    <w:p w14:paraId="4673DD2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85. </w:t>
      </w:r>
      <w:r w:rsidRPr="00F80CF1">
        <w:rPr>
          <w:rFonts w:ascii="Arial" w:hAnsi="Arial" w:cs="Arial"/>
          <w:sz w:val="24"/>
        </w:rPr>
        <w:tab/>
        <w:t xml:space="preserve">Groeger D, O’Mahony L, Murphy EF, Bourke JF, Dinan TG, Kiely B, Shanahan F, Quigley EMM. Bifidobacterium infantis 35624 modulates host inflammatory processes beyond the gut. </w:t>
      </w:r>
      <w:r w:rsidRPr="00F80CF1">
        <w:rPr>
          <w:rFonts w:ascii="Arial" w:hAnsi="Arial" w:cs="Arial"/>
          <w:i/>
          <w:iCs/>
          <w:sz w:val="24"/>
        </w:rPr>
        <w:t>Gut Microbes</w:t>
      </w:r>
      <w:r w:rsidRPr="00F80CF1">
        <w:rPr>
          <w:rFonts w:ascii="Arial" w:hAnsi="Arial" w:cs="Arial"/>
          <w:sz w:val="24"/>
        </w:rPr>
        <w:t xml:space="preserve">. 2013;4:325–339. </w:t>
      </w:r>
    </w:p>
    <w:p w14:paraId="65F8B71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86. </w:t>
      </w:r>
      <w:r w:rsidRPr="00F80CF1">
        <w:rPr>
          <w:rFonts w:ascii="Arial" w:hAnsi="Arial" w:cs="Arial"/>
          <w:sz w:val="24"/>
        </w:rPr>
        <w:tab/>
        <w:t xml:space="preserve">Meng D, Zhu W, Ganguli K, Shi HN, Walker WA. Anti-inflammatory effects of Bifidobacterium longum subsp infantis secretions on fetal human enterocytes are mediated by TLR-4 receptors. </w:t>
      </w:r>
      <w:r w:rsidRPr="00F80CF1">
        <w:rPr>
          <w:rFonts w:ascii="Arial" w:hAnsi="Arial" w:cs="Arial"/>
          <w:i/>
          <w:iCs/>
          <w:sz w:val="24"/>
        </w:rPr>
        <w:t>Am J Physiol Gastrointest Liver Physiol</w:t>
      </w:r>
      <w:r w:rsidRPr="00F80CF1">
        <w:rPr>
          <w:rFonts w:ascii="Arial" w:hAnsi="Arial" w:cs="Arial"/>
          <w:sz w:val="24"/>
        </w:rPr>
        <w:t xml:space="preserve">. 2016;311:G744–G753. </w:t>
      </w:r>
    </w:p>
    <w:p w14:paraId="119448CB"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87. </w:t>
      </w:r>
      <w:r w:rsidRPr="00F80CF1">
        <w:rPr>
          <w:rFonts w:ascii="Arial" w:hAnsi="Arial" w:cs="Arial"/>
          <w:sz w:val="24"/>
        </w:rPr>
        <w:tab/>
        <w:t xml:space="preserve">Aghamohammad S, Sepehr A, Miri ST, Najafi S, Rohani M, Pourshafiea MR. The effects of the probiotic cocktail on modulation of the NF-kB and JAK/STAT signaling pathways involved in the inflammatory response in bowel disease model. </w:t>
      </w:r>
      <w:r w:rsidRPr="00F80CF1">
        <w:rPr>
          <w:rFonts w:ascii="Arial" w:hAnsi="Arial" w:cs="Arial"/>
          <w:i/>
          <w:iCs/>
          <w:sz w:val="24"/>
        </w:rPr>
        <w:t>BMC Immunol</w:t>
      </w:r>
      <w:r w:rsidRPr="00F80CF1">
        <w:rPr>
          <w:rFonts w:ascii="Arial" w:hAnsi="Arial" w:cs="Arial"/>
          <w:sz w:val="24"/>
        </w:rPr>
        <w:t xml:space="preserve">. 2022;23:8. </w:t>
      </w:r>
    </w:p>
    <w:p w14:paraId="00B9550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88. </w:t>
      </w:r>
      <w:r w:rsidRPr="00F80CF1">
        <w:rPr>
          <w:rFonts w:ascii="Arial" w:hAnsi="Arial" w:cs="Arial"/>
          <w:sz w:val="24"/>
        </w:rPr>
        <w:tab/>
        <w:t xml:space="preserve">Cani PD, Bibiloni R, Knauf C, Waget A, Neyrinck AM, Delzenne NM, Burcelin R. Changes in gut microbiota control metabolic endotoxemia-induced inflammation in high-fat diet-induced obesity and diabetes in mice. </w:t>
      </w:r>
      <w:r w:rsidRPr="00F80CF1">
        <w:rPr>
          <w:rFonts w:ascii="Arial" w:hAnsi="Arial" w:cs="Arial"/>
          <w:i/>
          <w:iCs/>
          <w:sz w:val="24"/>
        </w:rPr>
        <w:t>Diabetes</w:t>
      </w:r>
      <w:r w:rsidRPr="00F80CF1">
        <w:rPr>
          <w:rFonts w:ascii="Arial" w:hAnsi="Arial" w:cs="Arial"/>
          <w:sz w:val="24"/>
        </w:rPr>
        <w:t xml:space="preserve">. 2008;57:1470–1481. </w:t>
      </w:r>
    </w:p>
    <w:p w14:paraId="60FF0F9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89. </w:t>
      </w:r>
      <w:r w:rsidRPr="00F80CF1">
        <w:rPr>
          <w:rFonts w:ascii="Arial" w:hAnsi="Arial" w:cs="Arial"/>
          <w:sz w:val="24"/>
        </w:rPr>
        <w:tab/>
        <w:t xml:space="preserve">Kang Y, Kang X, Yang H, Liu H, Yang X, Liu Q, Tian H, Xue Y, Ren P, Kuang X, Cai Y, Tong M, Li L, Fan W. Lactobacillus acidophilus ameliorates obesity in mice through modulation of gut microbiota dysbiosis and intestinal permeability. </w:t>
      </w:r>
      <w:r w:rsidRPr="00F80CF1">
        <w:rPr>
          <w:rFonts w:ascii="Arial" w:hAnsi="Arial" w:cs="Arial"/>
          <w:i/>
          <w:iCs/>
          <w:sz w:val="24"/>
        </w:rPr>
        <w:t>Pharmacol Res</w:t>
      </w:r>
      <w:r w:rsidRPr="00F80CF1">
        <w:rPr>
          <w:rFonts w:ascii="Arial" w:hAnsi="Arial" w:cs="Arial"/>
          <w:sz w:val="24"/>
        </w:rPr>
        <w:t xml:space="preserve">. 2022;175:106020. </w:t>
      </w:r>
    </w:p>
    <w:p w14:paraId="3405A98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90. </w:t>
      </w:r>
      <w:r w:rsidRPr="00F80CF1">
        <w:rPr>
          <w:rFonts w:ascii="Arial" w:hAnsi="Arial" w:cs="Arial"/>
          <w:sz w:val="24"/>
        </w:rPr>
        <w:tab/>
        <w:t xml:space="preserve">Jiang I, Yong PJ, Allaire C, Bedaiwy MA. Intricate Connections between the Microbiota and Endometriosis. </w:t>
      </w:r>
      <w:r w:rsidRPr="00F80CF1">
        <w:rPr>
          <w:rFonts w:ascii="Arial" w:hAnsi="Arial" w:cs="Arial"/>
          <w:i/>
          <w:iCs/>
          <w:sz w:val="24"/>
        </w:rPr>
        <w:t>Int J Mol Sci</w:t>
      </w:r>
      <w:r w:rsidRPr="00F80CF1">
        <w:rPr>
          <w:rFonts w:ascii="Arial" w:hAnsi="Arial" w:cs="Arial"/>
          <w:sz w:val="24"/>
        </w:rPr>
        <w:t xml:space="preserve">. 2021;22:5644. </w:t>
      </w:r>
    </w:p>
    <w:p w14:paraId="5844D87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91. </w:t>
      </w:r>
      <w:r w:rsidRPr="00F80CF1">
        <w:rPr>
          <w:rFonts w:ascii="Arial" w:hAnsi="Arial" w:cs="Arial"/>
          <w:sz w:val="24"/>
        </w:rPr>
        <w:tab/>
        <w:t xml:space="preserve">Wang L, Zhao Z, Zhao L, Zhao Y, Yang G, Wang C, Gao L, Niu C, Li S. Lactobacillus plantarum DP189 Reduces α-SYN Aggravation in MPTP-Induced Parkinson’s Disease Mice via Regulating Oxidative Damage, Inflammation, and Gut Microbiota Disorder. </w:t>
      </w:r>
      <w:r w:rsidRPr="00F80CF1">
        <w:rPr>
          <w:rFonts w:ascii="Arial" w:hAnsi="Arial" w:cs="Arial"/>
          <w:i/>
          <w:iCs/>
          <w:sz w:val="24"/>
        </w:rPr>
        <w:t>J Agric Food Chem</w:t>
      </w:r>
      <w:r w:rsidRPr="00F80CF1">
        <w:rPr>
          <w:rFonts w:ascii="Arial" w:hAnsi="Arial" w:cs="Arial"/>
          <w:sz w:val="24"/>
        </w:rPr>
        <w:t xml:space="preserve">. 2022;70:1163–1173. </w:t>
      </w:r>
    </w:p>
    <w:p w14:paraId="6431FB5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92. </w:t>
      </w:r>
      <w:r w:rsidRPr="00F80CF1">
        <w:rPr>
          <w:rFonts w:ascii="Arial" w:hAnsi="Arial" w:cs="Arial"/>
          <w:sz w:val="24"/>
        </w:rPr>
        <w:tab/>
        <w:t xml:space="preserve">Han KJ, Lee N-K, Park H, Paik H-D. Anticancer and Anti-Inflammatory Activity of Probiotic Lactococcus lactis NK34. </w:t>
      </w:r>
      <w:r w:rsidRPr="00F80CF1">
        <w:rPr>
          <w:rFonts w:ascii="Arial" w:hAnsi="Arial" w:cs="Arial"/>
          <w:i/>
          <w:iCs/>
          <w:sz w:val="24"/>
        </w:rPr>
        <w:t>J Microbiol Biotechnol</w:t>
      </w:r>
      <w:r w:rsidRPr="00F80CF1">
        <w:rPr>
          <w:rFonts w:ascii="Arial" w:hAnsi="Arial" w:cs="Arial"/>
          <w:sz w:val="24"/>
        </w:rPr>
        <w:t xml:space="preserve">. 2015;25:1697–1701. </w:t>
      </w:r>
    </w:p>
    <w:p w14:paraId="6C8420D4" w14:textId="77777777" w:rsidR="00F80CF1" w:rsidRPr="00F80CF1" w:rsidRDefault="00F80CF1" w:rsidP="00F80CF1">
      <w:pPr>
        <w:pStyle w:val="Bibliography"/>
        <w:rPr>
          <w:rFonts w:ascii="Arial" w:hAnsi="Arial" w:cs="Arial"/>
          <w:sz w:val="24"/>
        </w:rPr>
      </w:pPr>
      <w:r w:rsidRPr="00F80CF1">
        <w:rPr>
          <w:rFonts w:ascii="Arial" w:hAnsi="Arial" w:cs="Arial"/>
          <w:sz w:val="24"/>
        </w:rPr>
        <w:lastRenderedPageBreak/>
        <w:t xml:space="preserve">93. </w:t>
      </w:r>
      <w:r w:rsidRPr="00F80CF1">
        <w:rPr>
          <w:rFonts w:ascii="Arial" w:hAnsi="Arial" w:cs="Arial"/>
          <w:sz w:val="24"/>
        </w:rPr>
        <w:tab/>
        <w:t xml:space="preserve">Li P, Xu Y, Cao Y, Ding Z. Polypeptides Isolated from Lactococcus lactis Alleviates Lipopolysaccharide (LPS)-Induced Inflammation in Ctenopharyngodon idella. </w:t>
      </w:r>
      <w:r w:rsidRPr="00F80CF1">
        <w:rPr>
          <w:rFonts w:ascii="Arial" w:hAnsi="Arial" w:cs="Arial"/>
          <w:i/>
          <w:iCs/>
          <w:sz w:val="24"/>
        </w:rPr>
        <w:t>Int J Mol Sci</w:t>
      </w:r>
      <w:r w:rsidRPr="00F80CF1">
        <w:rPr>
          <w:rFonts w:ascii="Arial" w:hAnsi="Arial" w:cs="Arial"/>
          <w:sz w:val="24"/>
        </w:rPr>
        <w:t xml:space="preserve">. 2022;23:6733. </w:t>
      </w:r>
    </w:p>
    <w:p w14:paraId="23EC584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94. </w:t>
      </w:r>
      <w:r w:rsidRPr="00F80CF1">
        <w:rPr>
          <w:rFonts w:ascii="Arial" w:hAnsi="Arial" w:cs="Arial"/>
          <w:sz w:val="24"/>
        </w:rPr>
        <w:tab/>
        <w:t xml:space="preserve">Gao K, Farzi A, Ke X, Yu Y, Chen C, Chen S, Yu T, Wang H, Li Y. Oral administration of Lactococcus lactis WHH2078 alleviates depressive and anxiety symptoms in mice with induced chronic stress. </w:t>
      </w:r>
      <w:r w:rsidRPr="00F80CF1">
        <w:rPr>
          <w:rFonts w:ascii="Arial" w:hAnsi="Arial" w:cs="Arial"/>
          <w:i/>
          <w:iCs/>
          <w:sz w:val="24"/>
        </w:rPr>
        <w:t>Food Funct</w:t>
      </w:r>
      <w:r w:rsidRPr="00F80CF1">
        <w:rPr>
          <w:rFonts w:ascii="Arial" w:hAnsi="Arial" w:cs="Arial"/>
          <w:sz w:val="24"/>
        </w:rPr>
        <w:t xml:space="preserve">. 2022;13:957–969. </w:t>
      </w:r>
    </w:p>
    <w:p w14:paraId="3D029D6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95. </w:t>
      </w:r>
      <w:r w:rsidRPr="00F80CF1">
        <w:rPr>
          <w:rFonts w:ascii="Arial" w:hAnsi="Arial" w:cs="Arial"/>
          <w:sz w:val="24"/>
        </w:rPr>
        <w:tab/>
        <w:t xml:space="preserve">Geirnaert A, Steyaert A, Eeckhaut V, Debruyne B, Arends JBA, Van Immerseel F, Boon N, Van de Wiele T. Butyricicoccus pullicaecorum, a butyrate producer with probiotic potential, is intrinsically tolerant to stomach and small intestine conditions. </w:t>
      </w:r>
      <w:r w:rsidRPr="00F80CF1">
        <w:rPr>
          <w:rFonts w:ascii="Arial" w:hAnsi="Arial" w:cs="Arial"/>
          <w:i/>
          <w:iCs/>
          <w:sz w:val="24"/>
        </w:rPr>
        <w:t>Anaerobe</w:t>
      </w:r>
      <w:r w:rsidRPr="00F80CF1">
        <w:rPr>
          <w:rFonts w:ascii="Arial" w:hAnsi="Arial" w:cs="Arial"/>
          <w:sz w:val="24"/>
        </w:rPr>
        <w:t xml:space="preserve">. 2014;30:70–74. </w:t>
      </w:r>
    </w:p>
    <w:p w14:paraId="285CCEC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96. </w:t>
      </w:r>
      <w:r w:rsidRPr="00F80CF1">
        <w:rPr>
          <w:rFonts w:ascii="Arial" w:hAnsi="Arial" w:cs="Arial"/>
          <w:sz w:val="24"/>
        </w:rPr>
        <w:tab/>
        <w:t xml:space="preserve">Kwon G, Lee J, Koh J-H, Lim Y-H. Lifespan Extension of Caenorhabditis elegans by Butyricicoccus pullicaecorum and Megasphaera elsdenii with Probiotic Potential. </w:t>
      </w:r>
      <w:r w:rsidRPr="00F80CF1">
        <w:rPr>
          <w:rFonts w:ascii="Arial" w:hAnsi="Arial" w:cs="Arial"/>
          <w:i/>
          <w:iCs/>
          <w:sz w:val="24"/>
        </w:rPr>
        <w:t>Curr Microbiol</w:t>
      </w:r>
      <w:r w:rsidRPr="00F80CF1">
        <w:rPr>
          <w:rFonts w:ascii="Arial" w:hAnsi="Arial" w:cs="Arial"/>
          <w:sz w:val="24"/>
        </w:rPr>
        <w:t xml:space="preserve">. 2018;75:557–564. </w:t>
      </w:r>
    </w:p>
    <w:p w14:paraId="0B74C29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97. </w:t>
      </w:r>
      <w:r w:rsidRPr="00F80CF1">
        <w:rPr>
          <w:rFonts w:ascii="Arial" w:hAnsi="Arial" w:cs="Arial"/>
          <w:sz w:val="24"/>
        </w:rPr>
        <w:tab/>
        <w:t xml:space="preserve">Eeckhaut V, Machiels K, Perrier C, Romero C, Maes S, Flahou B, Steppe M, Haesebrouck F, Sas B, Ducatelle R, Vermeire S, Van Immerseel F. Butyricicoccus pullicaecorum in inflammatory bowel disease. </w:t>
      </w:r>
      <w:r w:rsidRPr="00F80CF1">
        <w:rPr>
          <w:rFonts w:ascii="Arial" w:hAnsi="Arial" w:cs="Arial"/>
          <w:i/>
          <w:iCs/>
          <w:sz w:val="24"/>
        </w:rPr>
        <w:t>Gut</w:t>
      </w:r>
      <w:r w:rsidRPr="00F80CF1">
        <w:rPr>
          <w:rFonts w:ascii="Arial" w:hAnsi="Arial" w:cs="Arial"/>
          <w:sz w:val="24"/>
        </w:rPr>
        <w:t xml:space="preserve">. 2013;62:1745–1752. </w:t>
      </w:r>
    </w:p>
    <w:p w14:paraId="195AEE9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98. </w:t>
      </w:r>
      <w:r w:rsidRPr="00F80CF1">
        <w:rPr>
          <w:rFonts w:ascii="Arial" w:hAnsi="Arial" w:cs="Arial"/>
          <w:sz w:val="24"/>
        </w:rPr>
        <w:tab/>
        <w:t xml:space="preserve">Sears CL. Enterotoxigenic Bacteroides fragilis: a rogue among symbiotes. </w:t>
      </w:r>
      <w:r w:rsidRPr="00F80CF1">
        <w:rPr>
          <w:rFonts w:ascii="Arial" w:hAnsi="Arial" w:cs="Arial"/>
          <w:i/>
          <w:iCs/>
          <w:sz w:val="24"/>
        </w:rPr>
        <w:t>Clin Microbiol Rev</w:t>
      </w:r>
      <w:r w:rsidRPr="00F80CF1">
        <w:rPr>
          <w:rFonts w:ascii="Arial" w:hAnsi="Arial" w:cs="Arial"/>
          <w:sz w:val="24"/>
        </w:rPr>
        <w:t xml:space="preserve">. 2009;22:349–369, Table of Contents. </w:t>
      </w:r>
    </w:p>
    <w:p w14:paraId="507F930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99. </w:t>
      </w:r>
      <w:r w:rsidRPr="00F80CF1">
        <w:rPr>
          <w:rFonts w:ascii="Arial" w:hAnsi="Arial" w:cs="Arial"/>
          <w:sz w:val="24"/>
        </w:rPr>
        <w:tab/>
        <w:t xml:space="preserve">Carrow HC, Batachari LE, Chu H. Strain diversity in the microbiome: Lessons from Bacteroides fragilis. </w:t>
      </w:r>
      <w:r w:rsidRPr="00F80CF1">
        <w:rPr>
          <w:rFonts w:ascii="Arial" w:hAnsi="Arial" w:cs="Arial"/>
          <w:i/>
          <w:iCs/>
          <w:sz w:val="24"/>
        </w:rPr>
        <w:t>PLoS Pathog</w:t>
      </w:r>
      <w:r w:rsidRPr="00F80CF1">
        <w:rPr>
          <w:rFonts w:ascii="Arial" w:hAnsi="Arial" w:cs="Arial"/>
          <w:sz w:val="24"/>
        </w:rPr>
        <w:t xml:space="preserve">. 2020;16:e1009056. </w:t>
      </w:r>
    </w:p>
    <w:p w14:paraId="49388FF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100. </w:t>
      </w:r>
      <w:r w:rsidRPr="00F80CF1">
        <w:rPr>
          <w:rFonts w:ascii="Arial" w:hAnsi="Arial" w:cs="Arial"/>
          <w:sz w:val="24"/>
        </w:rPr>
        <w:tab/>
        <w:t xml:space="preserve">Patrick S. A tale of two habitats: Bacteroides fragilis, a lethal pathogen and resident in the human gastrointestinal microbiome. </w:t>
      </w:r>
      <w:r w:rsidRPr="00F80CF1">
        <w:rPr>
          <w:rFonts w:ascii="Arial" w:hAnsi="Arial" w:cs="Arial"/>
          <w:i/>
          <w:iCs/>
          <w:sz w:val="24"/>
        </w:rPr>
        <w:t>Microbiology (Reading)</w:t>
      </w:r>
      <w:r w:rsidRPr="00F80CF1">
        <w:rPr>
          <w:rFonts w:ascii="Arial" w:hAnsi="Arial" w:cs="Arial"/>
          <w:sz w:val="24"/>
        </w:rPr>
        <w:t xml:space="preserve">. 2022;168. </w:t>
      </w:r>
    </w:p>
    <w:p w14:paraId="19F8E74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101. </w:t>
      </w:r>
      <w:r w:rsidRPr="00F80CF1">
        <w:rPr>
          <w:rFonts w:ascii="Arial" w:hAnsi="Arial" w:cs="Arial"/>
          <w:sz w:val="24"/>
        </w:rPr>
        <w:tab/>
        <w:t xml:space="preserve">Duan R, Hou J, Wang X, Huang Z, Cao H, Hu J, Peng Q, Duan H, Wang Q, Chen X. Prevotella histicola Transplantation Ameliorates Cognitive Impairment and Decreases Oxidative Stress in Vascular Dementia Rats. </w:t>
      </w:r>
      <w:r w:rsidRPr="00F80CF1">
        <w:rPr>
          <w:rFonts w:ascii="Arial" w:hAnsi="Arial" w:cs="Arial"/>
          <w:i/>
          <w:iCs/>
          <w:sz w:val="24"/>
        </w:rPr>
        <w:t>Brain Sci</w:t>
      </w:r>
      <w:r w:rsidRPr="00F80CF1">
        <w:rPr>
          <w:rFonts w:ascii="Arial" w:hAnsi="Arial" w:cs="Arial"/>
          <w:sz w:val="24"/>
        </w:rPr>
        <w:t xml:space="preserve">. 2023;13:1136. </w:t>
      </w:r>
    </w:p>
    <w:p w14:paraId="7CCE619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102. </w:t>
      </w:r>
      <w:r w:rsidRPr="00F80CF1">
        <w:rPr>
          <w:rFonts w:ascii="Arial" w:hAnsi="Arial" w:cs="Arial"/>
          <w:sz w:val="24"/>
        </w:rPr>
        <w:tab/>
        <w:t xml:space="preserve">Huang F, Pan H, Tan Z, Chen L, Li T, Liu Y. Prevotella histicola Prevented Particle-Induced Osteolysis via Gut Microbiota-Dependent Modulation of Inflammation in Ti-Treated Mice. </w:t>
      </w:r>
      <w:r w:rsidRPr="00F80CF1">
        <w:rPr>
          <w:rFonts w:ascii="Arial" w:hAnsi="Arial" w:cs="Arial"/>
          <w:i/>
          <w:iCs/>
          <w:sz w:val="24"/>
        </w:rPr>
        <w:t>Probiotics Antimicrob Proteins</w:t>
      </w:r>
      <w:r w:rsidRPr="00F80CF1">
        <w:rPr>
          <w:rFonts w:ascii="Arial" w:hAnsi="Arial" w:cs="Arial"/>
          <w:sz w:val="24"/>
        </w:rPr>
        <w:t>. 2023;</w:t>
      </w:r>
    </w:p>
    <w:p w14:paraId="1483D2C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103. </w:t>
      </w:r>
      <w:r w:rsidRPr="00F80CF1">
        <w:rPr>
          <w:rFonts w:ascii="Arial" w:hAnsi="Arial" w:cs="Arial"/>
          <w:sz w:val="24"/>
        </w:rPr>
        <w:tab/>
        <w:t xml:space="preserve">Balakrishnan B, Luckey D, Bodhke R, Chen J, Marietta E, Jeraldo P, Murray J, Taneja V. Prevotella histicola Protects From Arthritis by Expansion of Allobaculum and Augmenting Butyrate Production in Humanized Mice. </w:t>
      </w:r>
      <w:r w:rsidRPr="00F80CF1">
        <w:rPr>
          <w:rFonts w:ascii="Arial" w:hAnsi="Arial" w:cs="Arial"/>
          <w:i/>
          <w:iCs/>
          <w:sz w:val="24"/>
        </w:rPr>
        <w:t>Front Immunol</w:t>
      </w:r>
      <w:r w:rsidRPr="00F80CF1">
        <w:rPr>
          <w:rFonts w:ascii="Arial" w:hAnsi="Arial" w:cs="Arial"/>
          <w:sz w:val="24"/>
        </w:rPr>
        <w:t xml:space="preserve">. 2021;12:609644. </w:t>
      </w:r>
    </w:p>
    <w:p w14:paraId="2039D0D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104. </w:t>
      </w:r>
      <w:r w:rsidRPr="00F80CF1">
        <w:rPr>
          <w:rFonts w:ascii="Arial" w:hAnsi="Arial" w:cs="Arial"/>
          <w:sz w:val="24"/>
        </w:rPr>
        <w:tab/>
        <w:t xml:space="preserve">Huang F, Liu X, Xu S, Hu S, Wang S, Shi D, Wang K, Wang Z, Lin Q, Li S, Zhao S, Jin K, Wang C, Chen L, Wang F. Prevotella histicola Mitigated Estrogen Deficiency-Induced Depression via Gut Microbiota-Dependent Modulation of Inflammation in Ovariectomized Mice. </w:t>
      </w:r>
      <w:r w:rsidRPr="00F80CF1">
        <w:rPr>
          <w:rFonts w:ascii="Arial" w:hAnsi="Arial" w:cs="Arial"/>
          <w:i/>
          <w:iCs/>
          <w:sz w:val="24"/>
        </w:rPr>
        <w:t>Front Nutr</w:t>
      </w:r>
      <w:r w:rsidRPr="00F80CF1">
        <w:rPr>
          <w:rFonts w:ascii="Arial" w:hAnsi="Arial" w:cs="Arial"/>
          <w:sz w:val="24"/>
        </w:rPr>
        <w:t xml:space="preserve">. 2021;8:805465. </w:t>
      </w:r>
    </w:p>
    <w:p w14:paraId="650CC86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105. </w:t>
      </w:r>
      <w:r w:rsidRPr="00F80CF1">
        <w:rPr>
          <w:rFonts w:ascii="Arial" w:hAnsi="Arial" w:cs="Arial"/>
          <w:sz w:val="24"/>
        </w:rPr>
        <w:tab/>
        <w:t xml:space="preserve">Van den Abbeele P, Verstrepen L, Ghyselinck J, Albers R, Marzorati M, Mercenier A. A Novel Non-Digestible, Carrot-Derived Polysaccharide (cRG-I) </w:t>
      </w:r>
      <w:r w:rsidRPr="00F80CF1">
        <w:rPr>
          <w:rFonts w:ascii="Arial" w:hAnsi="Arial" w:cs="Arial"/>
          <w:sz w:val="24"/>
        </w:rPr>
        <w:lastRenderedPageBreak/>
        <w:t xml:space="preserve">Selectively Modulates the Human Gut Microbiota while Promoting Gut Barrier Integrity: An Integrated in Vitro Approach. </w:t>
      </w:r>
      <w:r w:rsidRPr="00F80CF1">
        <w:rPr>
          <w:rFonts w:ascii="Arial" w:hAnsi="Arial" w:cs="Arial"/>
          <w:i/>
          <w:iCs/>
          <w:sz w:val="24"/>
        </w:rPr>
        <w:t>Nutrients</w:t>
      </w:r>
      <w:r w:rsidRPr="00F80CF1">
        <w:rPr>
          <w:rFonts w:ascii="Arial" w:hAnsi="Arial" w:cs="Arial"/>
          <w:sz w:val="24"/>
        </w:rPr>
        <w:t xml:space="preserve">. 2020;12:1917. </w:t>
      </w:r>
    </w:p>
    <w:p w14:paraId="3671EA0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106. </w:t>
      </w:r>
      <w:r w:rsidRPr="00F80CF1">
        <w:rPr>
          <w:rFonts w:ascii="Arial" w:hAnsi="Arial" w:cs="Arial"/>
          <w:sz w:val="24"/>
        </w:rPr>
        <w:tab/>
        <w:t xml:space="preserve">Wang Z, Peters BA, Bryant M, Hanna DB, Schwartz T, Wang T, Sollecito CC, Usyk M, Grassi E, Wiek F, Peter LS, Post WS, Landay AL, Hodis HN, Weber KM, French A, Golub ET, Lazar J, Gustafson D, Sharma A, Anastos K, Clish CB, Burk RD, Kaplan RC, Knight R, Qi Q. Gut microbiota, circulating inflammatory markers and metabolites, and carotid artery atherosclerosis in HIV infection. </w:t>
      </w:r>
      <w:r w:rsidRPr="00F80CF1">
        <w:rPr>
          <w:rFonts w:ascii="Arial" w:hAnsi="Arial" w:cs="Arial"/>
          <w:i/>
          <w:iCs/>
          <w:sz w:val="24"/>
        </w:rPr>
        <w:t>Microbiome</w:t>
      </w:r>
      <w:r w:rsidRPr="00F80CF1">
        <w:rPr>
          <w:rFonts w:ascii="Arial" w:hAnsi="Arial" w:cs="Arial"/>
          <w:sz w:val="24"/>
        </w:rPr>
        <w:t xml:space="preserve">. 2023;11:119. </w:t>
      </w:r>
    </w:p>
    <w:p w14:paraId="4B2B954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107. </w:t>
      </w:r>
      <w:r w:rsidRPr="00F80CF1">
        <w:rPr>
          <w:rFonts w:ascii="Arial" w:hAnsi="Arial" w:cs="Arial"/>
          <w:sz w:val="24"/>
        </w:rPr>
        <w:tab/>
        <w:t xml:space="preserve">Patterson AM, Mulder IE, Travis AJ, Lan A, Cerf-Bensussan N, Gaboriau-Routhiau V, Garden K, Logan E, Delday MI, Coutts AGP, Monnais E, Ferraria VC, Inoue R, Grant G, Aminov RI. Human Gut Symbiont Roseburia hominis Promotes and Regulates Innate Immunity. </w:t>
      </w:r>
      <w:r w:rsidRPr="00F80CF1">
        <w:rPr>
          <w:rFonts w:ascii="Arial" w:hAnsi="Arial" w:cs="Arial"/>
          <w:i/>
          <w:iCs/>
          <w:sz w:val="24"/>
        </w:rPr>
        <w:t>Front Immunol</w:t>
      </w:r>
      <w:r w:rsidRPr="00F80CF1">
        <w:rPr>
          <w:rFonts w:ascii="Arial" w:hAnsi="Arial" w:cs="Arial"/>
          <w:sz w:val="24"/>
        </w:rPr>
        <w:t xml:space="preserve">. 2017;8:1166. </w:t>
      </w:r>
    </w:p>
    <w:p w14:paraId="620AF8B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108. </w:t>
      </w:r>
      <w:r w:rsidRPr="00F80CF1">
        <w:rPr>
          <w:rFonts w:ascii="Arial" w:hAnsi="Arial" w:cs="Arial"/>
          <w:sz w:val="24"/>
        </w:rPr>
        <w:tab/>
        <w:t xml:space="preserve">Machiels K, Joossens M, Sabino J, De Preter V, Arijs I, Eeckhaut V, Ballet V, Claes K, Van Immerseel F, Verbeke K, Ferrante M, Verhaegen J, Rutgeerts P, Vermeire S. A decrease of the butyrate-producing species Roseburia hominis and Faecalibacterium prausnitzii defines dysbiosis in patients with ulcerative colitis. </w:t>
      </w:r>
      <w:r w:rsidRPr="00F80CF1">
        <w:rPr>
          <w:rFonts w:ascii="Arial" w:hAnsi="Arial" w:cs="Arial"/>
          <w:i/>
          <w:iCs/>
          <w:sz w:val="24"/>
        </w:rPr>
        <w:t>Gut</w:t>
      </w:r>
      <w:r w:rsidRPr="00F80CF1">
        <w:rPr>
          <w:rFonts w:ascii="Arial" w:hAnsi="Arial" w:cs="Arial"/>
          <w:sz w:val="24"/>
        </w:rPr>
        <w:t xml:space="preserve">. 2014;63:1275–1283. </w:t>
      </w:r>
    </w:p>
    <w:p w14:paraId="59F3A31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109. </w:t>
      </w:r>
      <w:r w:rsidRPr="00F80CF1">
        <w:rPr>
          <w:rFonts w:ascii="Arial" w:hAnsi="Arial" w:cs="Arial"/>
          <w:sz w:val="24"/>
        </w:rPr>
        <w:tab/>
        <w:t xml:space="preserve">Islam SMS, Ryu H-M, Sayeed HM, Byun H-O, Jung J-Y, Kim H-A, Suh C-H, Sohn S. Eubacterium rectale Attenuates HSV-1 Induced Systemic Inflammation in Mice by Inhibiting CD83. </w:t>
      </w:r>
      <w:r w:rsidRPr="00F80CF1">
        <w:rPr>
          <w:rFonts w:ascii="Arial" w:hAnsi="Arial" w:cs="Arial"/>
          <w:i/>
          <w:iCs/>
          <w:sz w:val="24"/>
        </w:rPr>
        <w:t>Front Immunol</w:t>
      </w:r>
      <w:r w:rsidRPr="00F80CF1">
        <w:rPr>
          <w:rFonts w:ascii="Arial" w:hAnsi="Arial" w:cs="Arial"/>
          <w:sz w:val="24"/>
        </w:rPr>
        <w:t xml:space="preserve">. 2021;12:712312. </w:t>
      </w:r>
    </w:p>
    <w:p w14:paraId="72C3E4A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110. </w:t>
      </w:r>
      <w:r w:rsidRPr="00F80CF1">
        <w:rPr>
          <w:rFonts w:ascii="Arial" w:hAnsi="Arial" w:cs="Arial"/>
          <w:sz w:val="24"/>
        </w:rPr>
        <w:tab/>
        <w:t xml:space="preserve">Mukherjee A, Lordan C, Ross RP, Cotter PD. Gut microbes from the phylogenetically diverse genus Eubacterium and their various contributions to gut health. </w:t>
      </w:r>
      <w:r w:rsidRPr="00F80CF1">
        <w:rPr>
          <w:rFonts w:ascii="Arial" w:hAnsi="Arial" w:cs="Arial"/>
          <w:i/>
          <w:iCs/>
          <w:sz w:val="24"/>
        </w:rPr>
        <w:t>Gut Microbes</w:t>
      </w:r>
      <w:r w:rsidRPr="00F80CF1">
        <w:rPr>
          <w:rFonts w:ascii="Arial" w:hAnsi="Arial" w:cs="Arial"/>
          <w:sz w:val="24"/>
        </w:rPr>
        <w:t xml:space="preserve">. 2020;12:1802866. </w:t>
      </w:r>
    </w:p>
    <w:p w14:paraId="6027787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111. </w:t>
      </w:r>
      <w:r w:rsidRPr="00F80CF1">
        <w:rPr>
          <w:rFonts w:ascii="Arial" w:hAnsi="Arial" w:cs="Arial"/>
          <w:sz w:val="24"/>
        </w:rPr>
        <w:tab/>
        <w:t xml:space="preserve">Gomes AC, Hoffmann C, Mota JF. The human gut microbiota: Metabolism and perspective in obesity. </w:t>
      </w:r>
      <w:r w:rsidRPr="00F80CF1">
        <w:rPr>
          <w:rFonts w:ascii="Arial" w:hAnsi="Arial" w:cs="Arial"/>
          <w:i/>
          <w:iCs/>
          <w:sz w:val="24"/>
        </w:rPr>
        <w:t>Gut Microbes</w:t>
      </w:r>
      <w:r w:rsidRPr="00F80CF1">
        <w:rPr>
          <w:rFonts w:ascii="Arial" w:hAnsi="Arial" w:cs="Arial"/>
          <w:sz w:val="24"/>
        </w:rPr>
        <w:t xml:space="preserve">. 2018;9:308–325. </w:t>
      </w:r>
    </w:p>
    <w:p w14:paraId="6546387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112. </w:t>
      </w:r>
      <w:r w:rsidRPr="00F80CF1">
        <w:rPr>
          <w:rFonts w:ascii="Arial" w:hAnsi="Arial" w:cs="Arial"/>
          <w:sz w:val="24"/>
        </w:rPr>
        <w:tab/>
        <w:t xml:space="preserve">Lu H, Xu X, Fu D, Gu Y, Fan R, Yi H, He X, Wang C, Ouyang B, Zhao P, Wang L, Xu P, Cheng S, Wang Z, Zou D, Han L, Zhao W. Butyrate-producing Eubacterium rectale suppresses lymphomagenesis by alleviating the TNF-induced TLR4/MyD88/NF-κB axis. </w:t>
      </w:r>
      <w:r w:rsidRPr="00F80CF1">
        <w:rPr>
          <w:rFonts w:ascii="Arial" w:hAnsi="Arial" w:cs="Arial"/>
          <w:i/>
          <w:iCs/>
          <w:sz w:val="24"/>
        </w:rPr>
        <w:t>Cell Host Microbe</w:t>
      </w:r>
      <w:r w:rsidRPr="00F80CF1">
        <w:rPr>
          <w:rFonts w:ascii="Arial" w:hAnsi="Arial" w:cs="Arial"/>
          <w:sz w:val="24"/>
        </w:rPr>
        <w:t xml:space="preserve">. 2022;30:1139-1150.e7. </w:t>
      </w:r>
    </w:p>
    <w:p w14:paraId="51F1EE8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113. </w:t>
      </w:r>
      <w:r w:rsidRPr="00F80CF1">
        <w:rPr>
          <w:rFonts w:ascii="Arial" w:hAnsi="Arial" w:cs="Arial"/>
          <w:sz w:val="24"/>
        </w:rPr>
        <w:tab/>
        <w:t xml:space="preserve">McIlvanna E, Linden GJ, Craig SG, Lundy FT, James JA. Fusobacterium nucleatum and oral cancer: a critical review. </w:t>
      </w:r>
      <w:r w:rsidRPr="00F80CF1">
        <w:rPr>
          <w:rFonts w:ascii="Arial" w:hAnsi="Arial" w:cs="Arial"/>
          <w:i/>
          <w:iCs/>
          <w:sz w:val="24"/>
        </w:rPr>
        <w:t>BMC Cancer</w:t>
      </w:r>
      <w:r w:rsidRPr="00F80CF1">
        <w:rPr>
          <w:rFonts w:ascii="Arial" w:hAnsi="Arial" w:cs="Arial"/>
          <w:sz w:val="24"/>
        </w:rPr>
        <w:t xml:space="preserve">. 2021;21:1212. </w:t>
      </w:r>
    </w:p>
    <w:p w14:paraId="49585FB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114. </w:t>
      </w:r>
      <w:r w:rsidRPr="00F80CF1">
        <w:rPr>
          <w:rFonts w:ascii="Arial" w:hAnsi="Arial" w:cs="Arial"/>
          <w:sz w:val="24"/>
        </w:rPr>
        <w:tab/>
        <w:t xml:space="preserve">Engevik MA, Danhof HA, Ruan W, Engevik AC, Chang-Graham AL, Engevik KA, Shi Z, Zhao Y, Brand CK, Krystofiak ES, Venable S, Liu X, Hirschi KD, Hyser JM, Spinler JK, Britton RA, Versalovic J. Fusobacterium nucleatum Secretes Outer Membrane Vesicles and Promotes Intestinal Inflammation. </w:t>
      </w:r>
      <w:r w:rsidRPr="00F80CF1">
        <w:rPr>
          <w:rFonts w:ascii="Arial" w:hAnsi="Arial" w:cs="Arial"/>
          <w:i/>
          <w:iCs/>
          <w:sz w:val="24"/>
        </w:rPr>
        <w:t>mBio</w:t>
      </w:r>
      <w:r w:rsidRPr="00F80CF1">
        <w:rPr>
          <w:rFonts w:ascii="Arial" w:hAnsi="Arial" w:cs="Arial"/>
          <w:sz w:val="24"/>
        </w:rPr>
        <w:t xml:space="preserve">. 2021;12:e02706-20. </w:t>
      </w:r>
    </w:p>
    <w:p w14:paraId="5E5D1C4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115. </w:t>
      </w:r>
      <w:r w:rsidRPr="00F80CF1">
        <w:rPr>
          <w:rFonts w:ascii="Arial" w:hAnsi="Arial" w:cs="Arial"/>
          <w:sz w:val="24"/>
        </w:rPr>
        <w:tab/>
        <w:t xml:space="preserve">Bashir A, Miskeen AY, Hazari YM, Asrafuzzaman S, Fazili KM. Fusobacterium nucleatum, inflammation, and immunity: the fire within human gut. </w:t>
      </w:r>
      <w:r w:rsidRPr="00F80CF1">
        <w:rPr>
          <w:rFonts w:ascii="Arial" w:hAnsi="Arial" w:cs="Arial"/>
          <w:i/>
          <w:iCs/>
          <w:sz w:val="24"/>
        </w:rPr>
        <w:t>Tumour Biol</w:t>
      </w:r>
      <w:r w:rsidRPr="00F80CF1">
        <w:rPr>
          <w:rFonts w:ascii="Arial" w:hAnsi="Arial" w:cs="Arial"/>
          <w:sz w:val="24"/>
        </w:rPr>
        <w:t xml:space="preserve">. 2016;37:2805–2810. </w:t>
      </w:r>
    </w:p>
    <w:p w14:paraId="3512314C" w14:textId="77777777" w:rsidR="00F80CF1" w:rsidRPr="00F80CF1" w:rsidRDefault="00F80CF1" w:rsidP="00F80CF1">
      <w:pPr>
        <w:pStyle w:val="Bibliography"/>
        <w:rPr>
          <w:rFonts w:ascii="Arial" w:hAnsi="Arial" w:cs="Arial"/>
          <w:sz w:val="24"/>
        </w:rPr>
      </w:pPr>
      <w:r w:rsidRPr="00F80CF1">
        <w:rPr>
          <w:rFonts w:ascii="Arial" w:hAnsi="Arial" w:cs="Arial"/>
          <w:sz w:val="24"/>
        </w:rPr>
        <w:lastRenderedPageBreak/>
        <w:t xml:space="preserve">116. </w:t>
      </w:r>
      <w:r w:rsidRPr="00F80CF1">
        <w:rPr>
          <w:rFonts w:ascii="Arial" w:hAnsi="Arial" w:cs="Arial"/>
          <w:sz w:val="24"/>
        </w:rPr>
        <w:tab/>
        <w:t xml:space="preserve">Han YW. Fusobacterium nucleatum: a commensal-turned pathogen. </w:t>
      </w:r>
      <w:r w:rsidRPr="00F80CF1">
        <w:rPr>
          <w:rFonts w:ascii="Arial" w:hAnsi="Arial" w:cs="Arial"/>
          <w:i/>
          <w:iCs/>
          <w:sz w:val="24"/>
        </w:rPr>
        <w:t>Curr Opin Microbiol</w:t>
      </w:r>
      <w:r w:rsidRPr="00F80CF1">
        <w:rPr>
          <w:rFonts w:ascii="Arial" w:hAnsi="Arial" w:cs="Arial"/>
          <w:sz w:val="24"/>
        </w:rPr>
        <w:t xml:space="preserve">. 2015;23:141–147. </w:t>
      </w:r>
    </w:p>
    <w:p w14:paraId="15FA0D3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117. </w:t>
      </w:r>
      <w:r w:rsidRPr="00F80CF1">
        <w:rPr>
          <w:rFonts w:ascii="Arial" w:hAnsi="Arial" w:cs="Arial"/>
          <w:sz w:val="24"/>
        </w:rPr>
        <w:tab/>
        <w:t xml:space="preserve">Quaglio AEV, Grillo TG, De Oliveira ECS, Di Stasi LC, Sassaki LY. Gut microbiota, inflammatory bowel disease and colorectal cancer. </w:t>
      </w:r>
      <w:r w:rsidRPr="00F80CF1">
        <w:rPr>
          <w:rFonts w:ascii="Arial" w:hAnsi="Arial" w:cs="Arial"/>
          <w:i/>
          <w:iCs/>
          <w:sz w:val="24"/>
        </w:rPr>
        <w:t>World J Gastroenterol</w:t>
      </w:r>
      <w:r w:rsidRPr="00F80CF1">
        <w:rPr>
          <w:rFonts w:ascii="Arial" w:hAnsi="Arial" w:cs="Arial"/>
          <w:sz w:val="24"/>
        </w:rPr>
        <w:t xml:space="preserve">. 2022;28:4053–4060. </w:t>
      </w:r>
    </w:p>
    <w:p w14:paraId="34DA0AA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118. </w:t>
      </w:r>
      <w:r w:rsidRPr="00F80CF1">
        <w:rPr>
          <w:rFonts w:ascii="Arial" w:hAnsi="Arial" w:cs="Arial"/>
          <w:sz w:val="24"/>
        </w:rPr>
        <w:tab/>
        <w:t xml:space="preserve">Munoz-Price LS, Poirel L, Bonomo RA, Schwaber MJ, Daikos GL, Cormican M, Cornaglia G, Garau J, Gniadkowski M, Hayden MK, Kumarasamy K, Livermore DM, Maya JJ, Nordmann P, Patel JB, Paterson DL, Pitout J, Villegas MV, Wang H, Woodford N, Quinn JP. Clinical epidemiology of the global expansion of Klebsiella pneumoniae carbapenemases. </w:t>
      </w:r>
      <w:r w:rsidRPr="00F80CF1">
        <w:rPr>
          <w:rFonts w:ascii="Arial" w:hAnsi="Arial" w:cs="Arial"/>
          <w:i/>
          <w:iCs/>
          <w:sz w:val="24"/>
        </w:rPr>
        <w:t>Lancet Infect Dis</w:t>
      </w:r>
      <w:r w:rsidRPr="00F80CF1">
        <w:rPr>
          <w:rFonts w:ascii="Arial" w:hAnsi="Arial" w:cs="Arial"/>
          <w:sz w:val="24"/>
        </w:rPr>
        <w:t xml:space="preserve">. 2013;13:785–796. </w:t>
      </w:r>
    </w:p>
    <w:p w14:paraId="2BD7F61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119. </w:t>
      </w:r>
      <w:r w:rsidRPr="00F80CF1">
        <w:rPr>
          <w:rFonts w:ascii="Arial" w:hAnsi="Arial" w:cs="Arial"/>
          <w:sz w:val="24"/>
        </w:rPr>
        <w:tab/>
        <w:t xml:space="preserve">Magill SS, Edwards JR, Bamberg W, Beldavs ZG, Dumyati G, Kainer MA, Lynfield R, Maloney M, McAllister-Hollod L, Nadle J, Ray SM, Thompson DL, Wilson LE, Fridkin SK, Emerging Infections Program Healthcare-Associated Infections and Antimicrobial Use Prevalence Survey Team. Multistate point-prevalence survey of health care-associated infections. </w:t>
      </w:r>
      <w:r w:rsidRPr="00F80CF1">
        <w:rPr>
          <w:rFonts w:ascii="Arial" w:hAnsi="Arial" w:cs="Arial"/>
          <w:i/>
          <w:iCs/>
          <w:sz w:val="24"/>
        </w:rPr>
        <w:t>N Engl J Med</w:t>
      </w:r>
      <w:r w:rsidRPr="00F80CF1">
        <w:rPr>
          <w:rFonts w:ascii="Arial" w:hAnsi="Arial" w:cs="Arial"/>
          <w:sz w:val="24"/>
        </w:rPr>
        <w:t xml:space="preserve">. 2014;370:1198–1208. </w:t>
      </w:r>
    </w:p>
    <w:p w14:paraId="1709DF5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120. </w:t>
      </w:r>
      <w:r w:rsidRPr="00F80CF1">
        <w:rPr>
          <w:rFonts w:ascii="Arial" w:hAnsi="Arial" w:cs="Arial"/>
          <w:sz w:val="24"/>
        </w:rPr>
        <w:tab/>
        <w:t xml:space="preserve">Zhang Q, Su X, Zhang C, Chen W, Wang Y, Yang X, Liu D, Zhang Y, Yang R. Klebsiella pneumoniae Induces Inflammatory Bowel Disease Through Caspase-11-Mediated IL18 in the Gut Epithelial Cells. </w:t>
      </w:r>
      <w:r w:rsidRPr="00F80CF1">
        <w:rPr>
          <w:rFonts w:ascii="Arial" w:hAnsi="Arial" w:cs="Arial"/>
          <w:i/>
          <w:iCs/>
          <w:sz w:val="24"/>
        </w:rPr>
        <w:t>Cell Mol Gastroenterol Hepatol</w:t>
      </w:r>
      <w:r w:rsidRPr="00F80CF1">
        <w:rPr>
          <w:rFonts w:ascii="Arial" w:hAnsi="Arial" w:cs="Arial"/>
          <w:sz w:val="24"/>
        </w:rPr>
        <w:t xml:space="preserve">. 2023;15:613–632. </w:t>
      </w:r>
    </w:p>
    <w:p w14:paraId="70CA3C3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121. </w:t>
      </w:r>
      <w:r w:rsidRPr="00F80CF1">
        <w:rPr>
          <w:rFonts w:ascii="Arial" w:hAnsi="Arial" w:cs="Arial"/>
          <w:sz w:val="24"/>
        </w:rPr>
        <w:tab/>
        <w:t xml:space="preserve">Federici S, Kredo-Russo S, Valdés-Mas R, Kviatcovsky D, Weinstock E, Matiuhin Y, Silberberg Y, Atarashi K, Furuichi M, Oka A, Liu B, Fibelman M, Weiner IN, Khabra E, Cullin N, Ben-Yishai N, Inbar D, Ben-David H, Nicenboim J, Kowalsman N, Lieb W, Kario E, Cohen T, Geffen YF, Zelcbuch L, Cohen A, Rappo U, Gahali-Sass I, Golembo M, Lev V, Dori-Bachash M, Shapiro H, Moresi C, Cuevas-Sierra A, Mohapatra G, Kern L, Zheng D, Nobs SP, Suez J, Stettner N, Harmelin A, Zak N, Puttagunta S, Bassan M, Honda K, Sokol H, Bang C, Franke A, Schramm C, Maharshak N, Sartor RB, Sorek R, Elinav E. Targeted suppression of human IBD-associated gut microbiota commensals by phage consortia for treatment of intestinal inflammation. </w:t>
      </w:r>
      <w:r w:rsidRPr="00F80CF1">
        <w:rPr>
          <w:rFonts w:ascii="Arial" w:hAnsi="Arial" w:cs="Arial"/>
          <w:i/>
          <w:iCs/>
          <w:sz w:val="24"/>
        </w:rPr>
        <w:t>Cell</w:t>
      </w:r>
      <w:r w:rsidRPr="00F80CF1">
        <w:rPr>
          <w:rFonts w:ascii="Arial" w:hAnsi="Arial" w:cs="Arial"/>
          <w:sz w:val="24"/>
        </w:rPr>
        <w:t xml:space="preserve">. 2022;185:2879-2898.e24. </w:t>
      </w:r>
    </w:p>
    <w:p w14:paraId="1975C10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122. </w:t>
      </w:r>
      <w:r w:rsidRPr="00F80CF1">
        <w:rPr>
          <w:rFonts w:ascii="Arial" w:hAnsi="Arial" w:cs="Arial"/>
          <w:sz w:val="24"/>
        </w:rPr>
        <w:tab/>
        <w:t xml:space="preserve">Rizzatti G, Lopetuso LR, Gibiino G, Binda C, Gasbarrini A. Proteobacteria: A Common Factor in Human Diseases. </w:t>
      </w:r>
      <w:r w:rsidRPr="00F80CF1">
        <w:rPr>
          <w:rFonts w:ascii="Arial" w:hAnsi="Arial" w:cs="Arial"/>
          <w:i/>
          <w:iCs/>
          <w:sz w:val="24"/>
        </w:rPr>
        <w:t>Biomed Res Int</w:t>
      </w:r>
      <w:r w:rsidRPr="00F80CF1">
        <w:rPr>
          <w:rFonts w:ascii="Arial" w:hAnsi="Arial" w:cs="Arial"/>
          <w:sz w:val="24"/>
        </w:rPr>
        <w:t xml:space="preserve">. 2017;2017:9351507. </w:t>
      </w:r>
    </w:p>
    <w:p w14:paraId="557A434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123. </w:t>
      </w:r>
      <w:r w:rsidRPr="00F80CF1">
        <w:rPr>
          <w:rFonts w:ascii="Arial" w:hAnsi="Arial" w:cs="Arial"/>
          <w:sz w:val="24"/>
        </w:rPr>
        <w:tab/>
        <w:t xml:space="preserve">Shin N-R, Whon TW, Bae J-W. Proteobacteria: microbial signature of dysbiosis in gut microbiota. </w:t>
      </w:r>
      <w:r w:rsidRPr="00F80CF1">
        <w:rPr>
          <w:rFonts w:ascii="Arial" w:hAnsi="Arial" w:cs="Arial"/>
          <w:i/>
          <w:iCs/>
          <w:sz w:val="24"/>
        </w:rPr>
        <w:t>Trends Biotechnol</w:t>
      </w:r>
      <w:r w:rsidRPr="00F80CF1">
        <w:rPr>
          <w:rFonts w:ascii="Arial" w:hAnsi="Arial" w:cs="Arial"/>
          <w:sz w:val="24"/>
        </w:rPr>
        <w:t xml:space="preserve">. 2015;33:496–503. </w:t>
      </w:r>
    </w:p>
    <w:p w14:paraId="4E7363D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124. </w:t>
      </w:r>
      <w:r w:rsidRPr="00F80CF1">
        <w:rPr>
          <w:rFonts w:ascii="Arial" w:hAnsi="Arial" w:cs="Arial"/>
          <w:sz w:val="24"/>
        </w:rPr>
        <w:tab/>
        <w:t xml:space="preserve">Velin D, Straubinger K, Gerhard M. Inflammation, immunity, and vaccines for Helicobacter pylori infection. </w:t>
      </w:r>
      <w:r w:rsidRPr="00F80CF1">
        <w:rPr>
          <w:rFonts w:ascii="Arial" w:hAnsi="Arial" w:cs="Arial"/>
          <w:i/>
          <w:iCs/>
          <w:sz w:val="24"/>
        </w:rPr>
        <w:t>Helicobacter</w:t>
      </w:r>
      <w:r w:rsidRPr="00F80CF1">
        <w:rPr>
          <w:rFonts w:ascii="Arial" w:hAnsi="Arial" w:cs="Arial"/>
          <w:sz w:val="24"/>
        </w:rPr>
        <w:t xml:space="preserve">. 2016;21 Suppl 1:26–29. </w:t>
      </w:r>
    </w:p>
    <w:p w14:paraId="3BCAFF2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125. </w:t>
      </w:r>
      <w:r w:rsidRPr="00F80CF1">
        <w:rPr>
          <w:rFonts w:ascii="Arial" w:hAnsi="Arial" w:cs="Arial"/>
          <w:sz w:val="24"/>
        </w:rPr>
        <w:tab/>
        <w:t xml:space="preserve">Guo X, Tang P, Zhang X, Li R. Causal associations of circulating Helicobacter pylori antibodies with stroke and the mediating role of inflammation. </w:t>
      </w:r>
      <w:r w:rsidRPr="00F80CF1">
        <w:rPr>
          <w:rFonts w:ascii="Arial" w:hAnsi="Arial" w:cs="Arial"/>
          <w:i/>
          <w:iCs/>
          <w:sz w:val="24"/>
        </w:rPr>
        <w:t>Inflamm Res</w:t>
      </w:r>
      <w:r w:rsidRPr="00F80CF1">
        <w:rPr>
          <w:rFonts w:ascii="Arial" w:hAnsi="Arial" w:cs="Arial"/>
          <w:sz w:val="24"/>
        </w:rPr>
        <w:t xml:space="preserve">. 2023;72:1193–1202. </w:t>
      </w:r>
    </w:p>
    <w:p w14:paraId="75AB949E" w14:textId="77777777" w:rsidR="00F80CF1" w:rsidRPr="00F80CF1" w:rsidRDefault="00F80CF1" w:rsidP="00F80CF1">
      <w:pPr>
        <w:pStyle w:val="Bibliography"/>
        <w:rPr>
          <w:rFonts w:ascii="Arial" w:hAnsi="Arial" w:cs="Arial"/>
          <w:sz w:val="24"/>
        </w:rPr>
      </w:pPr>
      <w:r w:rsidRPr="00F80CF1">
        <w:rPr>
          <w:rFonts w:ascii="Arial" w:hAnsi="Arial" w:cs="Arial"/>
          <w:sz w:val="24"/>
        </w:rPr>
        <w:lastRenderedPageBreak/>
        <w:t xml:space="preserve">126. </w:t>
      </w:r>
      <w:r w:rsidRPr="00F80CF1">
        <w:rPr>
          <w:rFonts w:ascii="Arial" w:hAnsi="Arial" w:cs="Arial"/>
          <w:sz w:val="24"/>
        </w:rPr>
        <w:tab/>
        <w:t xml:space="preserve">Ruggiero P. Helicobacter pylori and inflammation. </w:t>
      </w:r>
      <w:r w:rsidRPr="00F80CF1">
        <w:rPr>
          <w:rFonts w:ascii="Arial" w:hAnsi="Arial" w:cs="Arial"/>
          <w:i/>
          <w:iCs/>
          <w:sz w:val="24"/>
        </w:rPr>
        <w:t>Curr Pharm Des</w:t>
      </w:r>
      <w:r w:rsidRPr="00F80CF1">
        <w:rPr>
          <w:rFonts w:ascii="Arial" w:hAnsi="Arial" w:cs="Arial"/>
          <w:sz w:val="24"/>
        </w:rPr>
        <w:t xml:space="preserve">. 2010;16:4225–4236. </w:t>
      </w:r>
    </w:p>
    <w:p w14:paraId="5271719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127. </w:t>
      </w:r>
      <w:r w:rsidRPr="00F80CF1">
        <w:rPr>
          <w:rFonts w:ascii="Arial" w:hAnsi="Arial" w:cs="Arial"/>
          <w:sz w:val="24"/>
        </w:rPr>
        <w:tab/>
        <w:t xml:space="preserve">FitzGerald R, Smith SM. An Overview of Helicobacter pylori Infection. </w:t>
      </w:r>
      <w:r w:rsidRPr="00F80CF1">
        <w:rPr>
          <w:rFonts w:ascii="Arial" w:hAnsi="Arial" w:cs="Arial"/>
          <w:i/>
          <w:iCs/>
          <w:sz w:val="24"/>
        </w:rPr>
        <w:t>Methods Mol Biol</w:t>
      </w:r>
      <w:r w:rsidRPr="00F80CF1">
        <w:rPr>
          <w:rFonts w:ascii="Arial" w:hAnsi="Arial" w:cs="Arial"/>
          <w:sz w:val="24"/>
        </w:rPr>
        <w:t xml:space="preserve">. 2021;2283:1–14. </w:t>
      </w:r>
    </w:p>
    <w:p w14:paraId="651FF2B1"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128. </w:t>
      </w:r>
      <w:r w:rsidRPr="00F80CF1">
        <w:rPr>
          <w:rFonts w:ascii="Arial" w:hAnsi="Arial" w:cs="Arial"/>
          <w:sz w:val="24"/>
        </w:rPr>
        <w:tab/>
        <w:t xml:space="preserve">Kim M-A, Rosa V, Min K-S. Characterization of Enterococcus faecalis in different culture conditions. </w:t>
      </w:r>
      <w:r w:rsidRPr="00F80CF1">
        <w:rPr>
          <w:rFonts w:ascii="Arial" w:hAnsi="Arial" w:cs="Arial"/>
          <w:i/>
          <w:iCs/>
          <w:sz w:val="24"/>
        </w:rPr>
        <w:t>Sci Rep</w:t>
      </w:r>
      <w:r w:rsidRPr="00F80CF1">
        <w:rPr>
          <w:rFonts w:ascii="Arial" w:hAnsi="Arial" w:cs="Arial"/>
          <w:sz w:val="24"/>
        </w:rPr>
        <w:t xml:space="preserve">. 2020;10:21867. </w:t>
      </w:r>
    </w:p>
    <w:p w14:paraId="15AE50A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129. </w:t>
      </w:r>
      <w:r w:rsidRPr="00F80CF1">
        <w:rPr>
          <w:rFonts w:ascii="Arial" w:hAnsi="Arial" w:cs="Arial"/>
          <w:sz w:val="24"/>
        </w:rPr>
        <w:tab/>
        <w:t>Agudelo Higuita NI, Huycke MM. Enterococcal Disease, Epidemiology, and Implications for Treatment [Internet]. In: Gilmore MS, Clewell DB, Ike Y, Shankar N, editors. Enterococci: From Commensals to Leading Causes of Drug Resistant Infection. Boston: Massachusetts Eye and Ear Infirmary; 2014 [cited 2023 Oct 24]. Available from: http://www.ncbi.nlm.nih.gov/books/NBK190429/</w:t>
      </w:r>
    </w:p>
    <w:p w14:paraId="5B592D7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130. </w:t>
      </w:r>
      <w:r w:rsidRPr="00F80CF1">
        <w:rPr>
          <w:rFonts w:ascii="Arial" w:hAnsi="Arial" w:cs="Arial"/>
          <w:sz w:val="24"/>
        </w:rPr>
        <w:tab/>
        <w:t xml:space="preserve">Zhang X, Wang Y, Yin Y, Sun B, Chen G, Chen F. Changes of Gut Microbiota in Maintenance Hemodialysis Patients and Their Impact on Patient’s Microinflammation Status. </w:t>
      </w:r>
      <w:r w:rsidRPr="00F80CF1">
        <w:rPr>
          <w:rFonts w:ascii="Arial" w:hAnsi="Arial" w:cs="Arial"/>
          <w:i/>
          <w:iCs/>
          <w:sz w:val="24"/>
        </w:rPr>
        <w:t>Cell Mol Biol (Noisy-le-grand)</w:t>
      </w:r>
      <w:r w:rsidRPr="00F80CF1">
        <w:rPr>
          <w:rFonts w:ascii="Arial" w:hAnsi="Arial" w:cs="Arial"/>
          <w:sz w:val="24"/>
        </w:rPr>
        <w:t xml:space="preserve">. 2023;69:96–101. </w:t>
      </w:r>
    </w:p>
    <w:p w14:paraId="073353A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131. </w:t>
      </w:r>
      <w:r w:rsidRPr="00F80CF1">
        <w:rPr>
          <w:rFonts w:ascii="Arial" w:hAnsi="Arial" w:cs="Arial"/>
          <w:sz w:val="24"/>
        </w:rPr>
        <w:tab/>
        <w:t xml:space="preserve">Smits WK, Lyras D, Lacy DB, Wilcox MH, Kuijper EJ. Clostridium difficile infection. </w:t>
      </w:r>
      <w:r w:rsidRPr="00F80CF1">
        <w:rPr>
          <w:rFonts w:ascii="Arial" w:hAnsi="Arial" w:cs="Arial"/>
          <w:i/>
          <w:iCs/>
          <w:sz w:val="24"/>
        </w:rPr>
        <w:t>Nat Rev Dis Primers</w:t>
      </w:r>
      <w:r w:rsidRPr="00F80CF1">
        <w:rPr>
          <w:rFonts w:ascii="Arial" w:hAnsi="Arial" w:cs="Arial"/>
          <w:sz w:val="24"/>
        </w:rPr>
        <w:t xml:space="preserve">. 2016;2:16020. </w:t>
      </w:r>
    </w:p>
    <w:p w14:paraId="571C0FF1"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132. </w:t>
      </w:r>
      <w:r w:rsidRPr="00F80CF1">
        <w:rPr>
          <w:rFonts w:ascii="Arial" w:hAnsi="Arial" w:cs="Arial"/>
          <w:sz w:val="24"/>
        </w:rPr>
        <w:tab/>
        <w:t xml:space="preserve">Abt MC, McKenney PT, Pamer EG. Clostridium difficile colitis: pathogenesis and host defence. </w:t>
      </w:r>
      <w:r w:rsidRPr="00F80CF1">
        <w:rPr>
          <w:rFonts w:ascii="Arial" w:hAnsi="Arial" w:cs="Arial"/>
          <w:i/>
          <w:iCs/>
          <w:sz w:val="24"/>
        </w:rPr>
        <w:t>Nat Rev Microbiol</w:t>
      </w:r>
      <w:r w:rsidRPr="00F80CF1">
        <w:rPr>
          <w:rFonts w:ascii="Arial" w:hAnsi="Arial" w:cs="Arial"/>
          <w:sz w:val="24"/>
        </w:rPr>
        <w:t xml:space="preserve">. 2016;14:609–620. </w:t>
      </w:r>
    </w:p>
    <w:p w14:paraId="6A9C8330"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133. </w:t>
      </w:r>
      <w:r w:rsidRPr="00F80CF1">
        <w:rPr>
          <w:rFonts w:ascii="Arial" w:hAnsi="Arial" w:cs="Arial"/>
          <w:sz w:val="24"/>
        </w:rPr>
        <w:tab/>
        <w:t xml:space="preserve">Rodríguez C, Romero E, Garrido-Sanchez L, Alcaín-Martínez G, Andrade RJ, Taminiau B, Daube G, García-Fuentes E. MICROBIOTA INSIGHTS IN CLOSTRIDIUM DIFFICILE INFECTION AND INFLAMMATORY BOWEL DISEASE. </w:t>
      </w:r>
      <w:r w:rsidRPr="00F80CF1">
        <w:rPr>
          <w:rFonts w:ascii="Arial" w:hAnsi="Arial" w:cs="Arial"/>
          <w:i/>
          <w:iCs/>
          <w:sz w:val="24"/>
        </w:rPr>
        <w:t>Gut Microbes</w:t>
      </w:r>
      <w:r w:rsidRPr="00F80CF1">
        <w:rPr>
          <w:rFonts w:ascii="Arial" w:hAnsi="Arial" w:cs="Arial"/>
          <w:sz w:val="24"/>
        </w:rPr>
        <w:t xml:space="preserve">. 2020;12:1725220. </w:t>
      </w:r>
    </w:p>
    <w:p w14:paraId="1161C53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134. </w:t>
      </w:r>
      <w:r w:rsidRPr="00F80CF1">
        <w:rPr>
          <w:rFonts w:ascii="Arial" w:hAnsi="Arial" w:cs="Arial"/>
          <w:sz w:val="24"/>
        </w:rPr>
        <w:tab/>
        <w:t xml:space="preserve">Cui J, Duizer C, Bouwman LI, van Rooijen KS, Voogdt CGP, van Putten JPM, de Zoete MR. The ALPK1 pathway drives the inflammatory response to Campylobacter jejuni in human intestinal epithelial cells. </w:t>
      </w:r>
      <w:r w:rsidRPr="00F80CF1">
        <w:rPr>
          <w:rFonts w:ascii="Arial" w:hAnsi="Arial" w:cs="Arial"/>
          <w:i/>
          <w:iCs/>
          <w:sz w:val="24"/>
        </w:rPr>
        <w:t>PLoS Pathog</w:t>
      </w:r>
      <w:r w:rsidRPr="00F80CF1">
        <w:rPr>
          <w:rFonts w:ascii="Arial" w:hAnsi="Arial" w:cs="Arial"/>
          <w:sz w:val="24"/>
        </w:rPr>
        <w:t xml:space="preserve">. 2021;17:e1009787. </w:t>
      </w:r>
    </w:p>
    <w:p w14:paraId="6ED6D33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135. </w:t>
      </w:r>
      <w:r w:rsidRPr="00F80CF1">
        <w:rPr>
          <w:rFonts w:ascii="Arial" w:hAnsi="Arial" w:cs="Arial"/>
          <w:sz w:val="24"/>
        </w:rPr>
        <w:tab/>
        <w:t xml:space="preserve">Kalischuk LD, Buret AG. A role for Campylobacter jejuni-induced enteritis in inflammatory bowel disease? </w:t>
      </w:r>
      <w:r w:rsidRPr="00F80CF1">
        <w:rPr>
          <w:rFonts w:ascii="Arial" w:hAnsi="Arial" w:cs="Arial"/>
          <w:i/>
          <w:iCs/>
          <w:sz w:val="24"/>
        </w:rPr>
        <w:t>Am J Physiol Gastrointest Liver Physiol</w:t>
      </w:r>
      <w:r w:rsidRPr="00F80CF1">
        <w:rPr>
          <w:rFonts w:ascii="Arial" w:hAnsi="Arial" w:cs="Arial"/>
          <w:sz w:val="24"/>
        </w:rPr>
        <w:t xml:space="preserve">. 2010;298:G1-9. </w:t>
      </w:r>
    </w:p>
    <w:p w14:paraId="427122AB"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136. </w:t>
      </w:r>
      <w:r w:rsidRPr="00F80CF1">
        <w:rPr>
          <w:rFonts w:ascii="Arial" w:hAnsi="Arial" w:cs="Arial"/>
          <w:sz w:val="24"/>
        </w:rPr>
        <w:tab/>
        <w:t xml:space="preserve">Callahan SM, Hancock TJ, Doster RS, Parker CB, Wakim ME, Gaddy JA, Johnson JG. A secreted sirtuin from Campylobacter jejuni contributes to neutrophil activation and intestinal inflammation during infection. </w:t>
      </w:r>
      <w:r w:rsidRPr="00F80CF1">
        <w:rPr>
          <w:rFonts w:ascii="Arial" w:hAnsi="Arial" w:cs="Arial"/>
          <w:i/>
          <w:iCs/>
          <w:sz w:val="24"/>
        </w:rPr>
        <w:t>Sci Adv</w:t>
      </w:r>
      <w:r w:rsidRPr="00F80CF1">
        <w:rPr>
          <w:rFonts w:ascii="Arial" w:hAnsi="Arial" w:cs="Arial"/>
          <w:sz w:val="24"/>
        </w:rPr>
        <w:t xml:space="preserve">. 2023;9:eade2693. </w:t>
      </w:r>
    </w:p>
    <w:p w14:paraId="094BDD8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137. </w:t>
      </w:r>
      <w:r w:rsidRPr="00F80CF1">
        <w:rPr>
          <w:rFonts w:ascii="Arial" w:hAnsi="Arial" w:cs="Arial"/>
          <w:sz w:val="24"/>
        </w:rPr>
        <w:tab/>
        <w:t xml:space="preserve">Ye J-J, Shie S-S, Cheng C-W, Yang J-H, Huang P-Y, Wu T-S, Lee M-H, Huang C-T. Clinical characteristics and treatment outcomes of vancomycin-resistant Enterococcus faecium bacteremia. </w:t>
      </w:r>
      <w:r w:rsidRPr="00F80CF1">
        <w:rPr>
          <w:rFonts w:ascii="Arial" w:hAnsi="Arial" w:cs="Arial"/>
          <w:i/>
          <w:iCs/>
          <w:sz w:val="24"/>
        </w:rPr>
        <w:t>J Microbiol Immunol Infect</w:t>
      </w:r>
      <w:r w:rsidRPr="00F80CF1">
        <w:rPr>
          <w:rFonts w:ascii="Arial" w:hAnsi="Arial" w:cs="Arial"/>
          <w:sz w:val="24"/>
        </w:rPr>
        <w:t xml:space="preserve">. 2018;51:705–716. </w:t>
      </w:r>
    </w:p>
    <w:p w14:paraId="3E7F457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138. </w:t>
      </w:r>
      <w:r w:rsidRPr="00F80CF1">
        <w:rPr>
          <w:rFonts w:ascii="Arial" w:hAnsi="Arial" w:cs="Arial"/>
          <w:sz w:val="24"/>
        </w:rPr>
        <w:tab/>
        <w:t xml:space="preserve">Echeverria-Esnal D, Sorli L, Navarrete-Rouco ME, Prim N, Barcelo-Vidal J, Conde-Estévez D, Montero MM, Martin-Ontiyuelo C, Horcajada JP, Grau S. Ampicillin-resistant and vancomycin-susceptible Enterococcus faecium bacteremia: a clinical narrative review. </w:t>
      </w:r>
      <w:r w:rsidRPr="00F80CF1">
        <w:rPr>
          <w:rFonts w:ascii="Arial" w:hAnsi="Arial" w:cs="Arial"/>
          <w:i/>
          <w:iCs/>
          <w:sz w:val="24"/>
        </w:rPr>
        <w:t>Expert Rev Anti Infect Ther</w:t>
      </w:r>
      <w:r w:rsidRPr="00F80CF1">
        <w:rPr>
          <w:rFonts w:ascii="Arial" w:hAnsi="Arial" w:cs="Arial"/>
          <w:sz w:val="24"/>
        </w:rPr>
        <w:t xml:space="preserve">. 2023;21:759–775. </w:t>
      </w:r>
    </w:p>
    <w:p w14:paraId="3399890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139. </w:t>
      </w:r>
      <w:r w:rsidRPr="00F80CF1">
        <w:rPr>
          <w:rFonts w:ascii="Arial" w:hAnsi="Arial" w:cs="Arial"/>
          <w:sz w:val="24"/>
        </w:rPr>
        <w:tab/>
        <w:t xml:space="preserve">Buffie CG, Pamer EG. Microbiota-mediated colonization resistance against intestinal pathogens. </w:t>
      </w:r>
      <w:r w:rsidRPr="00F80CF1">
        <w:rPr>
          <w:rFonts w:ascii="Arial" w:hAnsi="Arial" w:cs="Arial"/>
          <w:i/>
          <w:iCs/>
          <w:sz w:val="24"/>
        </w:rPr>
        <w:t>Nat Rev Immunol</w:t>
      </w:r>
      <w:r w:rsidRPr="00F80CF1">
        <w:rPr>
          <w:rFonts w:ascii="Arial" w:hAnsi="Arial" w:cs="Arial"/>
          <w:sz w:val="24"/>
        </w:rPr>
        <w:t xml:space="preserve">. 2013;13:790–801. </w:t>
      </w:r>
    </w:p>
    <w:p w14:paraId="242AA95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140. </w:t>
      </w:r>
      <w:r w:rsidRPr="00F80CF1">
        <w:rPr>
          <w:rFonts w:ascii="Arial" w:hAnsi="Arial" w:cs="Arial"/>
          <w:sz w:val="24"/>
        </w:rPr>
        <w:tab/>
        <w:t xml:space="preserve">Pracht D, Elm C, Gerber J, Bergmann S, Rohde M, Seiler M, Kim KS, Jenkinson HF, Nau R, Hammerschmidt S. PavA of Streptococcus pneumoniae modulates adherence, invasion, and meningeal inflammation. </w:t>
      </w:r>
      <w:r w:rsidRPr="00F80CF1">
        <w:rPr>
          <w:rFonts w:ascii="Arial" w:hAnsi="Arial" w:cs="Arial"/>
          <w:i/>
          <w:iCs/>
          <w:sz w:val="24"/>
        </w:rPr>
        <w:t>Infect Immun</w:t>
      </w:r>
      <w:r w:rsidRPr="00F80CF1">
        <w:rPr>
          <w:rFonts w:ascii="Arial" w:hAnsi="Arial" w:cs="Arial"/>
          <w:sz w:val="24"/>
        </w:rPr>
        <w:t xml:space="preserve">. 2005;73:2680–2689. </w:t>
      </w:r>
    </w:p>
    <w:p w14:paraId="13B003C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141. </w:t>
      </w:r>
      <w:r w:rsidRPr="00F80CF1">
        <w:rPr>
          <w:rFonts w:ascii="Arial" w:hAnsi="Arial" w:cs="Arial"/>
          <w:sz w:val="24"/>
        </w:rPr>
        <w:tab/>
        <w:t xml:space="preserve">Bermejo-Martin JF, Martín-Loeches I, Bosinger S. Inflammation and infection in critical care medicine. </w:t>
      </w:r>
      <w:r w:rsidRPr="00F80CF1">
        <w:rPr>
          <w:rFonts w:ascii="Arial" w:hAnsi="Arial" w:cs="Arial"/>
          <w:i/>
          <w:iCs/>
          <w:sz w:val="24"/>
        </w:rPr>
        <w:t>Mediators Inflamm</w:t>
      </w:r>
      <w:r w:rsidRPr="00F80CF1">
        <w:rPr>
          <w:rFonts w:ascii="Arial" w:hAnsi="Arial" w:cs="Arial"/>
          <w:sz w:val="24"/>
        </w:rPr>
        <w:t xml:space="preserve">. 2014;2014:456256. </w:t>
      </w:r>
    </w:p>
    <w:p w14:paraId="628D4BC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142. </w:t>
      </w:r>
      <w:r w:rsidRPr="00F80CF1">
        <w:rPr>
          <w:rFonts w:ascii="Arial" w:hAnsi="Arial" w:cs="Arial"/>
          <w:sz w:val="24"/>
        </w:rPr>
        <w:tab/>
        <w:t xml:space="preserve">Loughran AJ, Orihuela CJ, Tuomanen EI. Streptococcus pneumoniae: Invasion and Inflammation. </w:t>
      </w:r>
      <w:r w:rsidRPr="00F80CF1">
        <w:rPr>
          <w:rFonts w:ascii="Arial" w:hAnsi="Arial" w:cs="Arial"/>
          <w:i/>
          <w:iCs/>
          <w:sz w:val="24"/>
        </w:rPr>
        <w:t>Microbiol Spectr</w:t>
      </w:r>
      <w:r w:rsidRPr="00F80CF1">
        <w:rPr>
          <w:rFonts w:ascii="Arial" w:hAnsi="Arial" w:cs="Arial"/>
          <w:sz w:val="24"/>
        </w:rPr>
        <w:t xml:space="preserve">. 2019;7. </w:t>
      </w:r>
    </w:p>
    <w:p w14:paraId="61A0AF0A"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143. </w:t>
      </w:r>
      <w:r w:rsidRPr="00F80CF1">
        <w:rPr>
          <w:rFonts w:ascii="Arial" w:hAnsi="Arial" w:cs="Arial"/>
          <w:sz w:val="24"/>
        </w:rPr>
        <w:tab/>
        <w:t xml:space="preserve">Kwiecinski JM, Horswill AR. Staphylococcus aureus bloodstream infections: pathogenesis and regulatory mechanisms. </w:t>
      </w:r>
      <w:r w:rsidRPr="00F80CF1">
        <w:rPr>
          <w:rFonts w:ascii="Arial" w:hAnsi="Arial" w:cs="Arial"/>
          <w:i/>
          <w:iCs/>
          <w:sz w:val="24"/>
        </w:rPr>
        <w:t>Curr Opin Microbiol</w:t>
      </w:r>
      <w:r w:rsidRPr="00F80CF1">
        <w:rPr>
          <w:rFonts w:ascii="Arial" w:hAnsi="Arial" w:cs="Arial"/>
          <w:sz w:val="24"/>
        </w:rPr>
        <w:t xml:space="preserve">. 2020;53:51–60. </w:t>
      </w:r>
    </w:p>
    <w:p w14:paraId="6C67F0B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144. </w:t>
      </w:r>
      <w:r w:rsidRPr="00F80CF1">
        <w:rPr>
          <w:rFonts w:ascii="Arial" w:hAnsi="Arial" w:cs="Arial"/>
          <w:sz w:val="24"/>
        </w:rPr>
        <w:tab/>
        <w:t xml:space="preserve">Chen H, Zhang J, He Y, Lv Z, Liang Z, Chen J, Li P, Liu J, Yang H, Tao A, Liu X. Exploring the Role of Staphylococcus aureus in Inflammatory Diseases. </w:t>
      </w:r>
      <w:r w:rsidRPr="00F80CF1">
        <w:rPr>
          <w:rFonts w:ascii="Arial" w:hAnsi="Arial" w:cs="Arial"/>
          <w:i/>
          <w:iCs/>
          <w:sz w:val="24"/>
        </w:rPr>
        <w:t>Toxins (Basel)</w:t>
      </w:r>
      <w:r w:rsidRPr="00F80CF1">
        <w:rPr>
          <w:rFonts w:ascii="Arial" w:hAnsi="Arial" w:cs="Arial"/>
          <w:sz w:val="24"/>
        </w:rPr>
        <w:t xml:space="preserve">. 2022;14:464. </w:t>
      </w:r>
    </w:p>
    <w:p w14:paraId="6A8B8841"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145. </w:t>
      </w:r>
      <w:r w:rsidRPr="00F80CF1">
        <w:rPr>
          <w:rFonts w:ascii="Arial" w:hAnsi="Arial" w:cs="Arial"/>
          <w:sz w:val="24"/>
        </w:rPr>
        <w:tab/>
        <w:t xml:space="preserve">Zhang Q, Meng N, Liu Y, Zhao H, Zhao Z, Hao D, Li R, Han K, Li H, Ma J, Yu X, Qi Z, Li Q. Protection effect of gut microbiota composition and acetate absorption against hypertension-induced damages on the longevity population in Guangxi, China. </w:t>
      </w:r>
      <w:r w:rsidRPr="00F80CF1">
        <w:rPr>
          <w:rFonts w:ascii="Arial" w:hAnsi="Arial" w:cs="Arial"/>
          <w:i/>
          <w:iCs/>
          <w:sz w:val="24"/>
        </w:rPr>
        <w:t>Front Nutr</w:t>
      </w:r>
      <w:r w:rsidRPr="00F80CF1">
        <w:rPr>
          <w:rFonts w:ascii="Arial" w:hAnsi="Arial" w:cs="Arial"/>
          <w:sz w:val="24"/>
        </w:rPr>
        <w:t xml:space="preserve">. 2022;9:1070223. </w:t>
      </w:r>
    </w:p>
    <w:p w14:paraId="05F720B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146. </w:t>
      </w:r>
      <w:r w:rsidRPr="00F80CF1">
        <w:rPr>
          <w:rFonts w:ascii="Arial" w:hAnsi="Arial" w:cs="Arial"/>
          <w:sz w:val="24"/>
        </w:rPr>
        <w:tab/>
        <w:t xml:space="preserve">Chen J, Qin Q, Yan S, Yang Y, Yan H, Li T, Wang L, Gao X, Li A, Ding S. Gut Microbiome Alterations in Patients With Carotid Atherosclerosis. </w:t>
      </w:r>
      <w:r w:rsidRPr="00F80CF1">
        <w:rPr>
          <w:rFonts w:ascii="Arial" w:hAnsi="Arial" w:cs="Arial"/>
          <w:i/>
          <w:iCs/>
          <w:sz w:val="24"/>
        </w:rPr>
        <w:t>Front Cardiovasc Med</w:t>
      </w:r>
      <w:r w:rsidRPr="00F80CF1">
        <w:rPr>
          <w:rFonts w:ascii="Arial" w:hAnsi="Arial" w:cs="Arial"/>
          <w:sz w:val="24"/>
        </w:rPr>
        <w:t xml:space="preserve">. 2021;8:739093. </w:t>
      </w:r>
    </w:p>
    <w:p w14:paraId="74AF1D6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147. </w:t>
      </w:r>
      <w:r w:rsidRPr="00F80CF1">
        <w:rPr>
          <w:rFonts w:ascii="Arial" w:hAnsi="Arial" w:cs="Arial"/>
          <w:sz w:val="24"/>
        </w:rPr>
        <w:tab/>
        <w:t xml:space="preserve">Liaudet L, Murthy KGK, Mabley JG, Pacher P, Soriano FG, Salzman AL, Szabó C. Comparison of inflammation, organ damage, and oxidant stress induced by Salmonella enterica serovar Muenchen flagellin and serovar Enteritidis lipopolysaccharide. </w:t>
      </w:r>
      <w:r w:rsidRPr="00F80CF1">
        <w:rPr>
          <w:rFonts w:ascii="Arial" w:hAnsi="Arial" w:cs="Arial"/>
          <w:i/>
          <w:iCs/>
          <w:sz w:val="24"/>
        </w:rPr>
        <w:t>Infect Immun</w:t>
      </w:r>
      <w:r w:rsidRPr="00F80CF1">
        <w:rPr>
          <w:rFonts w:ascii="Arial" w:hAnsi="Arial" w:cs="Arial"/>
          <w:sz w:val="24"/>
        </w:rPr>
        <w:t xml:space="preserve">. 2002;70:192–198. </w:t>
      </w:r>
    </w:p>
    <w:p w14:paraId="7D076A6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148. </w:t>
      </w:r>
      <w:r w:rsidRPr="00F80CF1">
        <w:rPr>
          <w:rFonts w:ascii="Arial" w:hAnsi="Arial" w:cs="Arial"/>
          <w:sz w:val="24"/>
        </w:rPr>
        <w:tab/>
        <w:t xml:space="preserve">Heinrichs DE, Yethon JA, Whitfield C. Molecular basis for structural diversity in the core regions of the lipopolysaccharides of Escherichia coli and Salmonella enterica. </w:t>
      </w:r>
      <w:r w:rsidRPr="00F80CF1">
        <w:rPr>
          <w:rFonts w:ascii="Arial" w:hAnsi="Arial" w:cs="Arial"/>
          <w:i/>
          <w:iCs/>
          <w:sz w:val="24"/>
        </w:rPr>
        <w:t>Mol Microbiol</w:t>
      </w:r>
      <w:r w:rsidRPr="00F80CF1">
        <w:rPr>
          <w:rFonts w:ascii="Arial" w:hAnsi="Arial" w:cs="Arial"/>
          <w:sz w:val="24"/>
        </w:rPr>
        <w:t xml:space="preserve">. 1998;30:221–232. </w:t>
      </w:r>
    </w:p>
    <w:p w14:paraId="2089F2F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149. </w:t>
      </w:r>
      <w:r w:rsidRPr="00F80CF1">
        <w:rPr>
          <w:rFonts w:ascii="Arial" w:hAnsi="Arial" w:cs="Arial"/>
          <w:sz w:val="24"/>
        </w:rPr>
        <w:tab/>
        <w:t xml:space="preserve">Lin CK, Kazmierczak BI. Inflammation: A Double-Edged Sword in the Response to Pseudomonas aeruginosa Infection. </w:t>
      </w:r>
      <w:r w:rsidRPr="00F80CF1">
        <w:rPr>
          <w:rFonts w:ascii="Arial" w:hAnsi="Arial" w:cs="Arial"/>
          <w:i/>
          <w:iCs/>
          <w:sz w:val="24"/>
        </w:rPr>
        <w:t>J Innate Immun</w:t>
      </w:r>
      <w:r w:rsidRPr="00F80CF1">
        <w:rPr>
          <w:rFonts w:ascii="Arial" w:hAnsi="Arial" w:cs="Arial"/>
          <w:sz w:val="24"/>
        </w:rPr>
        <w:t xml:space="preserve">. 2017;9:250–261. </w:t>
      </w:r>
    </w:p>
    <w:p w14:paraId="673AF02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150. </w:t>
      </w:r>
      <w:r w:rsidRPr="00F80CF1">
        <w:rPr>
          <w:rFonts w:ascii="Arial" w:hAnsi="Arial" w:cs="Arial"/>
          <w:sz w:val="24"/>
        </w:rPr>
        <w:tab/>
        <w:t xml:space="preserve">Pier GB. Pseudomonas aeruginosa lipopolysaccharide: a major virulence factor, initiator of inflammation and target for effective immunity. </w:t>
      </w:r>
      <w:r w:rsidRPr="00F80CF1">
        <w:rPr>
          <w:rFonts w:ascii="Arial" w:hAnsi="Arial" w:cs="Arial"/>
          <w:i/>
          <w:iCs/>
          <w:sz w:val="24"/>
        </w:rPr>
        <w:t>Int J Med Microbiol</w:t>
      </w:r>
      <w:r w:rsidRPr="00F80CF1">
        <w:rPr>
          <w:rFonts w:ascii="Arial" w:hAnsi="Arial" w:cs="Arial"/>
          <w:sz w:val="24"/>
        </w:rPr>
        <w:t xml:space="preserve">. 2007;297:277–295. </w:t>
      </w:r>
    </w:p>
    <w:p w14:paraId="5B1CF79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151. </w:t>
      </w:r>
      <w:r w:rsidRPr="00F80CF1">
        <w:rPr>
          <w:rFonts w:ascii="Arial" w:hAnsi="Arial" w:cs="Arial"/>
          <w:sz w:val="24"/>
        </w:rPr>
        <w:tab/>
        <w:t xml:space="preserve">Sivak KV, Stosman KI, Rassokha TA, Aleksandrov AG, Kuzmich NN, Orshanskaya YR, Savateeva-Lubimova TN, Lesiovskaya EE. The Effect of TLR4 Blockade on Some Indicators of Systemic Inflammatory Response to Proteus mirabilis LPS in Rats. </w:t>
      </w:r>
      <w:r w:rsidRPr="00F80CF1">
        <w:rPr>
          <w:rFonts w:ascii="Arial" w:hAnsi="Arial" w:cs="Arial"/>
          <w:i/>
          <w:iCs/>
          <w:sz w:val="24"/>
        </w:rPr>
        <w:t>Bull Exp Biol Med</w:t>
      </w:r>
      <w:r w:rsidRPr="00F80CF1">
        <w:rPr>
          <w:rFonts w:ascii="Arial" w:hAnsi="Arial" w:cs="Arial"/>
          <w:sz w:val="24"/>
        </w:rPr>
        <w:t xml:space="preserve">. 2020;169:795–797. </w:t>
      </w:r>
    </w:p>
    <w:p w14:paraId="01543940" w14:textId="77777777" w:rsidR="00F80CF1" w:rsidRPr="00F80CF1" w:rsidRDefault="00F80CF1" w:rsidP="00F80CF1">
      <w:pPr>
        <w:pStyle w:val="Bibliography"/>
        <w:rPr>
          <w:rFonts w:ascii="Arial" w:hAnsi="Arial" w:cs="Arial"/>
          <w:sz w:val="24"/>
        </w:rPr>
      </w:pPr>
      <w:r w:rsidRPr="00F80CF1">
        <w:rPr>
          <w:rFonts w:ascii="Arial" w:hAnsi="Arial" w:cs="Arial"/>
          <w:sz w:val="24"/>
        </w:rPr>
        <w:lastRenderedPageBreak/>
        <w:t xml:space="preserve">152. </w:t>
      </w:r>
      <w:r w:rsidRPr="00F80CF1">
        <w:rPr>
          <w:rFonts w:ascii="Arial" w:hAnsi="Arial" w:cs="Arial"/>
          <w:sz w:val="24"/>
        </w:rPr>
        <w:tab/>
        <w:t xml:space="preserve">Zielinski T, Wachowicz B, Saluk-Juszczak J, Kaca W. Polysaccharide part of Proteus mirabilis lipopolysaccharide may be responsible for the stimulation of platelet adhesion to collagen. </w:t>
      </w:r>
      <w:r w:rsidRPr="00F80CF1">
        <w:rPr>
          <w:rFonts w:ascii="Arial" w:hAnsi="Arial" w:cs="Arial"/>
          <w:i/>
          <w:iCs/>
          <w:sz w:val="24"/>
        </w:rPr>
        <w:t>Platelets</w:t>
      </w:r>
      <w:r w:rsidRPr="00F80CF1">
        <w:rPr>
          <w:rFonts w:ascii="Arial" w:hAnsi="Arial" w:cs="Arial"/>
          <w:sz w:val="24"/>
        </w:rPr>
        <w:t xml:space="preserve">. 2002;13:419–424. </w:t>
      </w:r>
    </w:p>
    <w:p w14:paraId="1724FF5B"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153. </w:t>
      </w:r>
      <w:r w:rsidRPr="00F80CF1">
        <w:rPr>
          <w:rFonts w:ascii="Arial" w:hAnsi="Arial" w:cs="Arial"/>
          <w:sz w:val="24"/>
        </w:rPr>
        <w:tab/>
        <w:t xml:space="preserve">Palusiak A. Proteus mirabilis and Klebsiella pneumoniae as pathogens capable of causing co-infections and exhibiting similarities in their virulence factors. </w:t>
      </w:r>
      <w:r w:rsidRPr="00F80CF1">
        <w:rPr>
          <w:rFonts w:ascii="Arial" w:hAnsi="Arial" w:cs="Arial"/>
          <w:i/>
          <w:iCs/>
          <w:sz w:val="24"/>
        </w:rPr>
        <w:t>Front Cell Infect Microbiol</w:t>
      </w:r>
      <w:r w:rsidRPr="00F80CF1">
        <w:rPr>
          <w:rFonts w:ascii="Arial" w:hAnsi="Arial" w:cs="Arial"/>
          <w:sz w:val="24"/>
        </w:rPr>
        <w:t xml:space="preserve">. 2022;12:991657. </w:t>
      </w:r>
    </w:p>
    <w:p w14:paraId="0164F4E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154. </w:t>
      </w:r>
      <w:r w:rsidRPr="00F80CF1">
        <w:rPr>
          <w:rFonts w:ascii="Arial" w:hAnsi="Arial" w:cs="Arial"/>
          <w:sz w:val="24"/>
        </w:rPr>
        <w:tab/>
        <w:t xml:space="preserve">Armbruster CE, Mobley HLT, Pearson MM. Pathogenesis of Proteus mirabilis Infection. </w:t>
      </w:r>
      <w:r w:rsidRPr="00F80CF1">
        <w:rPr>
          <w:rFonts w:ascii="Arial" w:hAnsi="Arial" w:cs="Arial"/>
          <w:i/>
          <w:iCs/>
          <w:sz w:val="24"/>
        </w:rPr>
        <w:t>EcoSal Plus</w:t>
      </w:r>
      <w:r w:rsidRPr="00F80CF1">
        <w:rPr>
          <w:rFonts w:ascii="Arial" w:hAnsi="Arial" w:cs="Arial"/>
          <w:sz w:val="24"/>
        </w:rPr>
        <w:t xml:space="preserve">. 2018;8. </w:t>
      </w:r>
    </w:p>
    <w:p w14:paraId="1913A1F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155. </w:t>
      </w:r>
      <w:r w:rsidRPr="00F80CF1">
        <w:rPr>
          <w:rFonts w:ascii="Arial" w:hAnsi="Arial" w:cs="Arial"/>
          <w:sz w:val="24"/>
        </w:rPr>
        <w:tab/>
        <w:t xml:space="preserve">Erridge C, Moncayo-Nieto OL, Morgan R, Young M, Poxton IR. Acinetobacter baumannii lipopolysaccharides are potent stimulators of human monocyte activation via Toll-like receptor 4 signalling. </w:t>
      </w:r>
      <w:r w:rsidRPr="00F80CF1">
        <w:rPr>
          <w:rFonts w:ascii="Arial" w:hAnsi="Arial" w:cs="Arial"/>
          <w:i/>
          <w:iCs/>
          <w:sz w:val="24"/>
        </w:rPr>
        <w:t>J Med Microbiol</w:t>
      </w:r>
      <w:r w:rsidRPr="00F80CF1">
        <w:rPr>
          <w:rFonts w:ascii="Arial" w:hAnsi="Arial" w:cs="Arial"/>
          <w:sz w:val="24"/>
        </w:rPr>
        <w:t xml:space="preserve">. 2007;56:165–171. </w:t>
      </w:r>
    </w:p>
    <w:p w14:paraId="2139355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156. </w:t>
      </w:r>
      <w:r w:rsidRPr="00F80CF1">
        <w:rPr>
          <w:rFonts w:ascii="Arial" w:hAnsi="Arial" w:cs="Arial"/>
          <w:sz w:val="24"/>
        </w:rPr>
        <w:tab/>
        <w:t xml:space="preserve">Imperi F, Antunes LCS, Blom J, Villa L, Iacono M, Visca P, Carattoli A. The genomics of Acinetobacter baumannii: insights into genome plasticity, antimicrobial resistance and pathogenicity. </w:t>
      </w:r>
      <w:r w:rsidRPr="00F80CF1">
        <w:rPr>
          <w:rFonts w:ascii="Arial" w:hAnsi="Arial" w:cs="Arial"/>
          <w:i/>
          <w:iCs/>
          <w:sz w:val="24"/>
        </w:rPr>
        <w:t>IUBMB Life</w:t>
      </w:r>
      <w:r w:rsidRPr="00F80CF1">
        <w:rPr>
          <w:rFonts w:ascii="Arial" w:hAnsi="Arial" w:cs="Arial"/>
          <w:sz w:val="24"/>
        </w:rPr>
        <w:t xml:space="preserve">. 2011;63:1068–1074. </w:t>
      </w:r>
    </w:p>
    <w:p w14:paraId="2AC1406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157. </w:t>
      </w:r>
      <w:r w:rsidRPr="00F80CF1">
        <w:rPr>
          <w:rFonts w:ascii="Arial" w:hAnsi="Arial" w:cs="Arial"/>
          <w:sz w:val="24"/>
        </w:rPr>
        <w:tab/>
        <w:t xml:space="preserve">Cerqueira GM, Peleg AY. Insights into Acinetobacter baumannii pathogenicity. </w:t>
      </w:r>
      <w:r w:rsidRPr="00F80CF1">
        <w:rPr>
          <w:rFonts w:ascii="Arial" w:hAnsi="Arial" w:cs="Arial"/>
          <w:i/>
          <w:iCs/>
          <w:sz w:val="24"/>
        </w:rPr>
        <w:t>IUBMB Life</w:t>
      </w:r>
      <w:r w:rsidRPr="00F80CF1">
        <w:rPr>
          <w:rFonts w:ascii="Arial" w:hAnsi="Arial" w:cs="Arial"/>
          <w:sz w:val="24"/>
        </w:rPr>
        <w:t xml:space="preserve">. 2011;63:1055–1060. </w:t>
      </w:r>
    </w:p>
    <w:p w14:paraId="52D150F1"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158. </w:t>
      </w:r>
      <w:r w:rsidRPr="00F80CF1">
        <w:rPr>
          <w:rFonts w:ascii="Arial" w:hAnsi="Arial" w:cs="Arial"/>
          <w:sz w:val="24"/>
        </w:rPr>
        <w:tab/>
        <w:t xml:space="preserve">Harding CM, Hennon SW, Feldman MF. Uncovering the mechanisms of Acinetobacter baumannii virulence. </w:t>
      </w:r>
      <w:r w:rsidRPr="00F80CF1">
        <w:rPr>
          <w:rFonts w:ascii="Arial" w:hAnsi="Arial" w:cs="Arial"/>
          <w:i/>
          <w:iCs/>
          <w:sz w:val="24"/>
        </w:rPr>
        <w:t>Nat Rev Microbiol</w:t>
      </w:r>
      <w:r w:rsidRPr="00F80CF1">
        <w:rPr>
          <w:rFonts w:ascii="Arial" w:hAnsi="Arial" w:cs="Arial"/>
          <w:sz w:val="24"/>
        </w:rPr>
        <w:t xml:space="preserve">. 2018;16:91–102. </w:t>
      </w:r>
    </w:p>
    <w:p w14:paraId="431B01F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159. </w:t>
      </w:r>
      <w:r w:rsidRPr="00F80CF1">
        <w:rPr>
          <w:rFonts w:ascii="Arial" w:hAnsi="Arial" w:cs="Arial"/>
          <w:sz w:val="24"/>
        </w:rPr>
        <w:tab/>
        <w:t xml:space="preserve">Low KE, Smith SP, Abbott DW, Boraston AB. The glycoconjugate-degrading enzymes of Clostridium perfringens: Tailored catalysts for breaching the intestinal mucus barrier. </w:t>
      </w:r>
      <w:r w:rsidRPr="00F80CF1">
        <w:rPr>
          <w:rFonts w:ascii="Arial" w:hAnsi="Arial" w:cs="Arial"/>
          <w:i/>
          <w:iCs/>
          <w:sz w:val="24"/>
        </w:rPr>
        <w:t>Glycobiology</w:t>
      </w:r>
      <w:r w:rsidRPr="00F80CF1">
        <w:rPr>
          <w:rFonts w:ascii="Arial" w:hAnsi="Arial" w:cs="Arial"/>
          <w:sz w:val="24"/>
        </w:rPr>
        <w:t xml:space="preserve">. 2021;31:681–690. </w:t>
      </w:r>
    </w:p>
    <w:p w14:paraId="7E28624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160. </w:t>
      </w:r>
      <w:r w:rsidRPr="00F80CF1">
        <w:rPr>
          <w:rFonts w:ascii="Arial" w:hAnsi="Arial" w:cs="Arial"/>
          <w:sz w:val="24"/>
        </w:rPr>
        <w:tab/>
        <w:t xml:space="preserve">Goldstein J, Morris WE, Loidl CF, Tironi-Farinati C, McClane BA, Uzal FA, Fernandez Miyakawa ME. Clostridium perfringens epsilon toxin increases the small intestinal permeability in mice and rats. </w:t>
      </w:r>
      <w:r w:rsidRPr="00F80CF1">
        <w:rPr>
          <w:rFonts w:ascii="Arial" w:hAnsi="Arial" w:cs="Arial"/>
          <w:i/>
          <w:iCs/>
          <w:sz w:val="24"/>
        </w:rPr>
        <w:t>PLoS One</w:t>
      </w:r>
      <w:r w:rsidRPr="00F80CF1">
        <w:rPr>
          <w:rFonts w:ascii="Arial" w:hAnsi="Arial" w:cs="Arial"/>
          <w:sz w:val="24"/>
        </w:rPr>
        <w:t xml:space="preserve">. 2009;4:e7065. </w:t>
      </w:r>
    </w:p>
    <w:p w14:paraId="6E506642"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161. </w:t>
      </w:r>
      <w:r w:rsidRPr="00F80CF1">
        <w:rPr>
          <w:rFonts w:ascii="Arial" w:hAnsi="Arial" w:cs="Arial"/>
          <w:sz w:val="24"/>
        </w:rPr>
        <w:tab/>
        <w:t xml:space="preserve">Lukovac S, Belzer C, Pellis L, Keijser BJ, de Vos WM, Montijn RC, Roeselers G. Differential modulation by Akkermansia muciniphila and Faecalibacterium prausnitzii of host peripheral lipid metabolism and histone acetylation in mouse gut organoids. </w:t>
      </w:r>
      <w:r w:rsidRPr="00F80CF1">
        <w:rPr>
          <w:rFonts w:ascii="Arial" w:hAnsi="Arial" w:cs="Arial"/>
          <w:i/>
          <w:iCs/>
          <w:sz w:val="24"/>
        </w:rPr>
        <w:t>mBio</w:t>
      </w:r>
      <w:r w:rsidRPr="00F80CF1">
        <w:rPr>
          <w:rFonts w:ascii="Arial" w:hAnsi="Arial" w:cs="Arial"/>
          <w:sz w:val="24"/>
        </w:rPr>
        <w:t xml:space="preserve">. 2014;5:e01438-14. </w:t>
      </w:r>
    </w:p>
    <w:p w14:paraId="1D6FF208"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162. </w:t>
      </w:r>
      <w:r w:rsidRPr="00F80CF1">
        <w:rPr>
          <w:rFonts w:ascii="Arial" w:hAnsi="Arial" w:cs="Arial"/>
          <w:sz w:val="24"/>
        </w:rPr>
        <w:tab/>
        <w:t xml:space="preserve">Ouwerkerk JP, van der Ark KCH, Davids M, Claassens NJ, Finestra TR, de Vos WM, Belzer C. Adaptation of Akkermansia muciniphila to the Oxic-Anoxic Interface of the Mucus Layer. </w:t>
      </w:r>
      <w:r w:rsidRPr="00F80CF1">
        <w:rPr>
          <w:rFonts w:ascii="Arial" w:hAnsi="Arial" w:cs="Arial"/>
          <w:i/>
          <w:iCs/>
          <w:sz w:val="24"/>
        </w:rPr>
        <w:t>Appl Environ Microbiol</w:t>
      </w:r>
      <w:r w:rsidRPr="00F80CF1">
        <w:rPr>
          <w:rFonts w:ascii="Arial" w:hAnsi="Arial" w:cs="Arial"/>
          <w:sz w:val="24"/>
        </w:rPr>
        <w:t xml:space="preserve">. 2016;82:6983–6993. </w:t>
      </w:r>
    </w:p>
    <w:p w14:paraId="6AA4E0B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163. </w:t>
      </w:r>
      <w:r w:rsidRPr="00F80CF1">
        <w:rPr>
          <w:rFonts w:ascii="Arial" w:hAnsi="Arial" w:cs="Arial"/>
          <w:sz w:val="24"/>
        </w:rPr>
        <w:tab/>
        <w:t xml:space="preserve">Belzer C, Chia LW, Aalvink S, Chamlagain B, Piironen V, Knol J, de Vos WM. Microbial Metabolic Networks at the Mucus Layer Lead to Diet-Independent Butyrate and Vitamin B12 Production by Intestinal Symbionts. </w:t>
      </w:r>
      <w:r w:rsidRPr="00F80CF1">
        <w:rPr>
          <w:rFonts w:ascii="Arial" w:hAnsi="Arial" w:cs="Arial"/>
          <w:i/>
          <w:iCs/>
          <w:sz w:val="24"/>
        </w:rPr>
        <w:t>mBio</w:t>
      </w:r>
      <w:r w:rsidRPr="00F80CF1">
        <w:rPr>
          <w:rFonts w:ascii="Arial" w:hAnsi="Arial" w:cs="Arial"/>
          <w:sz w:val="24"/>
        </w:rPr>
        <w:t xml:space="preserve">. 2017;8:e00770-17. </w:t>
      </w:r>
    </w:p>
    <w:p w14:paraId="524DB51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164. </w:t>
      </w:r>
      <w:r w:rsidRPr="00F80CF1">
        <w:rPr>
          <w:rFonts w:ascii="Arial" w:hAnsi="Arial" w:cs="Arial"/>
          <w:sz w:val="24"/>
        </w:rPr>
        <w:tab/>
        <w:t xml:space="preserve">Silverman GJ, Deng J, Azzouz DF. Sex-dependent Lupus Blautia (Ruminococcus) gnavus strain induction of zonulin-mediated intestinal permeability and autoimmunity. </w:t>
      </w:r>
      <w:r w:rsidRPr="00F80CF1">
        <w:rPr>
          <w:rFonts w:ascii="Arial" w:hAnsi="Arial" w:cs="Arial"/>
          <w:i/>
          <w:iCs/>
          <w:sz w:val="24"/>
        </w:rPr>
        <w:t>Front Immunol</w:t>
      </w:r>
      <w:r w:rsidRPr="00F80CF1">
        <w:rPr>
          <w:rFonts w:ascii="Arial" w:hAnsi="Arial" w:cs="Arial"/>
          <w:sz w:val="24"/>
        </w:rPr>
        <w:t xml:space="preserve">. 2022;13:897971. </w:t>
      </w:r>
    </w:p>
    <w:p w14:paraId="0A28AFFD" w14:textId="77777777" w:rsidR="00F80CF1" w:rsidRPr="00F80CF1" w:rsidRDefault="00F80CF1" w:rsidP="00F80CF1">
      <w:pPr>
        <w:pStyle w:val="Bibliography"/>
        <w:rPr>
          <w:rFonts w:ascii="Arial" w:hAnsi="Arial" w:cs="Arial"/>
          <w:sz w:val="24"/>
        </w:rPr>
      </w:pPr>
      <w:r w:rsidRPr="00F80CF1">
        <w:rPr>
          <w:rFonts w:ascii="Arial" w:hAnsi="Arial" w:cs="Arial"/>
          <w:sz w:val="24"/>
        </w:rPr>
        <w:lastRenderedPageBreak/>
        <w:t xml:space="preserve">165. </w:t>
      </w:r>
      <w:r w:rsidRPr="00F80CF1">
        <w:rPr>
          <w:rFonts w:ascii="Arial" w:hAnsi="Arial" w:cs="Arial"/>
          <w:sz w:val="24"/>
        </w:rPr>
        <w:tab/>
        <w:t xml:space="preserve">Hall AB, Yassour M, Sauk J, Garner A, Jiang X, Arthur T, Lagoudas GK, Vatanen T, Fornelos N, Wilson R, Bertha M, Cohen M, Garber J, Khalili H, Gevers D, Ananthakrishnan AN, Kugathasan S, Lander ES, Blainey P, Vlamakis H, Xavier RJ, Huttenhower C. A novel Ruminococcus gnavus clade enriched in inflammatory bowel disease patients. </w:t>
      </w:r>
      <w:r w:rsidRPr="00F80CF1">
        <w:rPr>
          <w:rFonts w:ascii="Arial" w:hAnsi="Arial" w:cs="Arial"/>
          <w:i/>
          <w:iCs/>
          <w:sz w:val="24"/>
        </w:rPr>
        <w:t>Genome Med</w:t>
      </w:r>
      <w:r w:rsidRPr="00F80CF1">
        <w:rPr>
          <w:rFonts w:ascii="Arial" w:hAnsi="Arial" w:cs="Arial"/>
          <w:sz w:val="24"/>
        </w:rPr>
        <w:t xml:space="preserve">. 2017;9:103. </w:t>
      </w:r>
    </w:p>
    <w:p w14:paraId="55F429B7"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166. </w:t>
      </w:r>
      <w:r w:rsidRPr="00F80CF1">
        <w:rPr>
          <w:rFonts w:ascii="Arial" w:hAnsi="Arial" w:cs="Arial"/>
          <w:sz w:val="24"/>
        </w:rPr>
        <w:tab/>
        <w:t xml:space="preserve">Crost EH, Coletto E, Bell A, Juge N. Ruminococcus gnavus: friend or foe for human health. </w:t>
      </w:r>
      <w:r w:rsidRPr="00F80CF1">
        <w:rPr>
          <w:rFonts w:ascii="Arial" w:hAnsi="Arial" w:cs="Arial"/>
          <w:i/>
          <w:iCs/>
          <w:sz w:val="24"/>
        </w:rPr>
        <w:t>FEMS Microbiol Rev</w:t>
      </w:r>
      <w:r w:rsidRPr="00F80CF1">
        <w:rPr>
          <w:rFonts w:ascii="Arial" w:hAnsi="Arial" w:cs="Arial"/>
          <w:sz w:val="24"/>
        </w:rPr>
        <w:t xml:space="preserve">. 2023;47:fuad014. </w:t>
      </w:r>
    </w:p>
    <w:p w14:paraId="12F1432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167. </w:t>
      </w:r>
      <w:r w:rsidRPr="00F80CF1">
        <w:rPr>
          <w:rFonts w:ascii="Arial" w:hAnsi="Arial" w:cs="Arial"/>
          <w:sz w:val="24"/>
        </w:rPr>
        <w:tab/>
        <w:t xml:space="preserve">Almagro-Moreno S, Pruss K, Taylor RK. Intestinal Colonization Dynamics of Vibrio cholerae. </w:t>
      </w:r>
      <w:r w:rsidRPr="00F80CF1">
        <w:rPr>
          <w:rFonts w:ascii="Arial" w:hAnsi="Arial" w:cs="Arial"/>
          <w:i/>
          <w:iCs/>
          <w:sz w:val="24"/>
        </w:rPr>
        <w:t>PLoS Pathog</w:t>
      </w:r>
      <w:r w:rsidRPr="00F80CF1">
        <w:rPr>
          <w:rFonts w:ascii="Arial" w:hAnsi="Arial" w:cs="Arial"/>
          <w:sz w:val="24"/>
        </w:rPr>
        <w:t xml:space="preserve">. 2015;11:e1004787. </w:t>
      </w:r>
    </w:p>
    <w:p w14:paraId="4CA9D156"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168. </w:t>
      </w:r>
      <w:r w:rsidRPr="00F80CF1">
        <w:rPr>
          <w:rFonts w:ascii="Arial" w:hAnsi="Arial" w:cs="Arial"/>
          <w:sz w:val="24"/>
        </w:rPr>
        <w:tab/>
        <w:t xml:space="preserve">Ducarmon QR, Zwittink RD, Hornung BVH, van Schaik W, Young VB, Kuijper EJ. Gut Microbiota and Colonization Resistance against Bacterial Enteric Infection. </w:t>
      </w:r>
      <w:r w:rsidRPr="00F80CF1">
        <w:rPr>
          <w:rFonts w:ascii="Arial" w:hAnsi="Arial" w:cs="Arial"/>
          <w:i/>
          <w:iCs/>
          <w:sz w:val="24"/>
        </w:rPr>
        <w:t>Microbiol Mol Biol Rev</w:t>
      </w:r>
      <w:r w:rsidRPr="00F80CF1">
        <w:rPr>
          <w:rFonts w:ascii="Arial" w:hAnsi="Arial" w:cs="Arial"/>
          <w:sz w:val="24"/>
        </w:rPr>
        <w:t xml:space="preserve">. 2019;83:e00007-19. </w:t>
      </w:r>
    </w:p>
    <w:p w14:paraId="29D0A37D"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169. </w:t>
      </w:r>
      <w:r w:rsidRPr="00F80CF1">
        <w:rPr>
          <w:rFonts w:ascii="Arial" w:hAnsi="Arial" w:cs="Arial"/>
          <w:sz w:val="24"/>
        </w:rPr>
        <w:tab/>
        <w:t xml:space="preserve">Crisan CV, Hammer BK. The Vibrio cholerae type VI secretion system: toxins, regulators and consequences. </w:t>
      </w:r>
      <w:r w:rsidRPr="00F80CF1">
        <w:rPr>
          <w:rFonts w:ascii="Arial" w:hAnsi="Arial" w:cs="Arial"/>
          <w:i/>
          <w:iCs/>
          <w:sz w:val="24"/>
        </w:rPr>
        <w:t>Environ Microbiol</w:t>
      </w:r>
      <w:r w:rsidRPr="00F80CF1">
        <w:rPr>
          <w:rFonts w:ascii="Arial" w:hAnsi="Arial" w:cs="Arial"/>
          <w:sz w:val="24"/>
        </w:rPr>
        <w:t xml:space="preserve">. 2020;22:4112–4122. </w:t>
      </w:r>
    </w:p>
    <w:p w14:paraId="441CC4A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170. </w:t>
      </w:r>
      <w:r w:rsidRPr="00F80CF1">
        <w:rPr>
          <w:rFonts w:ascii="Arial" w:hAnsi="Arial" w:cs="Arial"/>
          <w:sz w:val="24"/>
        </w:rPr>
        <w:tab/>
        <w:t xml:space="preserve">Rodríguez-Piñeiro AM, Johansson MEV. The colonic mucus protection depends on the microbiota. </w:t>
      </w:r>
      <w:r w:rsidRPr="00F80CF1">
        <w:rPr>
          <w:rFonts w:ascii="Arial" w:hAnsi="Arial" w:cs="Arial"/>
          <w:i/>
          <w:iCs/>
          <w:sz w:val="24"/>
        </w:rPr>
        <w:t>Gut Microbes</w:t>
      </w:r>
      <w:r w:rsidRPr="00F80CF1">
        <w:rPr>
          <w:rFonts w:ascii="Arial" w:hAnsi="Arial" w:cs="Arial"/>
          <w:sz w:val="24"/>
        </w:rPr>
        <w:t xml:space="preserve">. 2015;6:326–330. </w:t>
      </w:r>
    </w:p>
    <w:p w14:paraId="1EB231FC"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171. </w:t>
      </w:r>
      <w:r w:rsidRPr="00F80CF1">
        <w:rPr>
          <w:rFonts w:ascii="Arial" w:hAnsi="Arial" w:cs="Arial"/>
          <w:sz w:val="24"/>
        </w:rPr>
        <w:tab/>
        <w:t xml:space="preserve">Rowan F, Docherty NG, Murphy M, Murphy B, Calvin Coffey J, O’Connell PR. Desulfovibrio bacterial species are increased in ulcerative colitis. </w:t>
      </w:r>
      <w:r w:rsidRPr="00F80CF1">
        <w:rPr>
          <w:rFonts w:ascii="Arial" w:hAnsi="Arial" w:cs="Arial"/>
          <w:i/>
          <w:iCs/>
          <w:sz w:val="24"/>
        </w:rPr>
        <w:t>Dis Colon Rectum</w:t>
      </w:r>
      <w:r w:rsidRPr="00F80CF1">
        <w:rPr>
          <w:rFonts w:ascii="Arial" w:hAnsi="Arial" w:cs="Arial"/>
          <w:sz w:val="24"/>
        </w:rPr>
        <w:t xml:space="preserve">. 2010;53:1530–1536. </w:t>
      </w:r>
    </w:p>
    <w:p w14:paraId="3534642B"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172. </w:t>
      </w:r>
      <w:r w:rsidRPr="00F80CF1">
        <w:rPr>
          <w:rFonts w:ascii="Arial" w:hAnsi="Arial" w:cs="Arial"/>
          <w:sz w:val="24"/>
        </w:rPr>
        <w:tab/>
        <w:t xml:space="preserve">Berry D, Reinisch W. Intestinal microbiota: a source of novel biomarkers in inflammatory bowel diseases? </w:t>
      </w:r>
      <w:r w:rsidRPr="00F80CF1">
        <w:rPr>
          <w:rFonts w:ascii="Arial" w:hAnsi="Arial" w:cs="Arial"/>
          <w:i/>
          <w:iCs/>
          <w:sz w:val="24"/>
        </w:rPr>
        <w:t>Best Pract Res Clin Gastroenterol</w:t>
      </w:r>
      <w:r w:rsidRPr="00F80CF1">
        <w:rPr>
          <w:rFonts w:ascii="Arial" w:hAnsi="Arial" w:cs="Arial"/>
          <w:sz w:val="24"/>
        </w:rPr>
        <w:t xml:space="preserve">. 2013;27:47–58. </w:t>
      </w:r>
    </w:p>
    <w:p w14:paraId="35F3945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173. </w:t>
      </w:r>
      <w:r w:rsidRPr="00F80CF1">
        <w:rPr>
          <w:rFonts w:ascii="Arial" w:hAnsi="Arial" w:cs="Arial"/>
          <w:sz w:val="24"/>
        </w:rPr>
        <w:tab/>
        <w:t xml:space="preserve">Earley H, Lennon G, Balfe A, Kilcoyne M, Clyne M, Joshi L, Carrington S, Martin ST, Coffey JC, Winter DC, O’Connell PR. A Preliminary Study Examining the Binding Capacity of Akkermansia muciniphila and Desulfovibrio spp., to Colonic Mucin in Health and Ulcerative Colitis. </w:t>
      </w:r>
      <w:r w:rsidRPr="00F80CF1">
        <w:rPr>
          <w:rFonts w:ascii="Arial" w:hAnsi="Arial" w:cs="Arial"/>
          <w:i/>
          <w:iCs/>
          <w:sz w:val="24"/>
        </w:rPr>
        <w:t>PLoS One</w:t>
      </w:r>
      <w:r w:rsidRPr="00F80CF1">
        <w:rPr>
          <w:rFonts w:ascii="Arial" w:hAnsi="Arial" w:cs="Arial"/>
          <w:sz w:val="24"/>
        </w:rPr>
        <w:t xml:space="preserve">. 2015;10:e0135280. </w:t>
      </w:r>
    </w:p>
    <w:p w14:paraId="5C8FD6AE"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174. </w:t>
      </w:r>
      <w:r w:rsidRPr="00F80CF1">
        <w:rPr>
          <w:rFonts w:ascii="Arial" w:hAnsi="Arial" w:cs="Arial"/>
          <w:sz w:val="24"/>
        </w:rPr>
        <w:tab/>
        <w:t xml:space="preserve">Fang S, Chen X, Ye X, Zhou L, Xue S, Gan Q. Effects of Gut Microbiome and Short-Chain Fatty Acids (SCFAs) on Finishing Weight of Meat Rabbits. </w:t>
      </w:r>
      <w:r w:rsidRPr="00F80CF1">
        <w:rPr>
          <w:rFonts w:ascii="Arial" w:hAnsi="Arial" w:cs="Arial"/>
          <w:i/>
          <w:iCs/>
          <w:sz w:val="24"/>
        </w:rPr>
        <w:t>Front Microbiol</w:t>
      </w:r>
      <w:r w:rsidRPr="00F80CF1">
        <w:rPr>
          <w:rFonts w:ascii="Arial" w:hAnsi="Arial" w:cs="Arial"/>
          <w:sz w:val="24"/>
        </w:rPr>
        <w:t xml:space="preserve">. 2020;11:1835. </w:t>
      </w:r>
    </w:p>
    <w:p w14:paraId="152BA6B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175. </w:t>
      </w:r>
      <w:r w:rsidRPr="00F80CF1">
        <w:rPr>
          <w:rFonts w:ascii="Arial" w:hAnsi="Arial" w:cs="Arial"/>
          <w:sz w:val="24"/>
        </w:rPr>
        <w:tab/>
        <w:t xml:space="preserve">Wang D, Guo S, He H, Gong L, Cui H. Gut Microbiome and Serum Metabolome Analyses Identify Unsaturated Fatty Acids and Butanoate Metabolism Induced by Gut Microbiota in Patients With Chronic Spontaneous Urticaria. </w:t>
      </w:r>
      <w:r w:rsidRPr="00F80CF1">
        <w:rPr>
          <w:rFonts w:ascii="Arial" w:hAnsi="Arial" w:cs="Arial"/>
          <w:i/>
          <w:iCs/>
          <w:sz w:val="24"/>
        </w:rPr>
        <w:t>Front Cell Infect Microbiol</w:t>
      </w:r>
      <w:r w:rsidRPr="00F80CF1">
        <w:rPr>
          <w:rFonts w:ascii="Arial" w:hAnsi="Arial" w:cs="Arial"/>
          <w:sz w:val="24"/>
        </w:rPr>
        <w:t xml:space="preserve">. 2020;10:24. </w:t>
      </w:r>
    </w:p>
    <w:p w14:paraId="46A72AE5"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176. </w:t>
      </w:r>
      <w:r w:rsidRPr="00F80CF1">
        <w:rPr>
          <w:rFonts w:ascii="Arial" w:hAnsi="Arial" w:cs="Arial"/>
          <w:sz w:val="24"/>
        </w:rPr>
        <w:tab/>
        <w:t xml:space="preserve">Jiao N, Baker SS, Nugent CA, Tsompana M, Cai L, Wang Y, Buck MJ, Genco RJ, Baker RD, Zhu R, Zhu L. Gut microbiome may contribute to insulin resistance and systemic inflammation in obese rodents: a meta-analysis. </w:t>
      </w:r>
      <w:r w:rsidRPr="00F80CF1">
        <w:rPr>
          <w:rFonts w:ascii="Arial" w:hAnsi="Arial" w:cs="Arial"/>
          <w:i/>
          <w:iCs/>
          <w:sz w:val="24"/>
        </w:rPr>
        <w:t>Physiol Genomics</w:t>
      </w:r>
      <w:r w:rsidRPr="00F80CF1">
        <w:rPr>
          <w:rFonts w:ascii="Arial" w:hAnsi="Arial" w:cs="Arial"/>
          <w:sz w:val="24"/>
        </w:rPr>
        <w:t xml:space="preserve">. 2018;50:244–254. </w:t>
      </w:r>
    </w:p>
    <w:p w14:paraId="1625756D" w14:textId="77777777" w:rsidR="00F80CF1" w:rsidRPr="00F80CF1" w:rsidRDefault="00F80CF1" w:rsidP="00F80CF1">
      <w:pPr>
        <w:pStyle w:val="Bibliography"/>
        <w:rPr>
          <w:rFonts w:ascii="Arial" w:hAnsi="Arial" w:cs="Arial"/>
          <w:sz w:val="24"/>
        </w:rPr>
      </w:pPr>
      <w:r w:rsidRPr="00F80CF1">
        <w:rPr>
          <w:rFonts w:ascii="Arial" w:hAnsi="Arial" w:cs="Arial"/>
          <w:sz w:val="24"/>
        </w:rPr>
        <w:lastRenderedPageBreak/>
        <w:t xml:space="preserve">177. </w:t>
      </w:r>
      <w:r w:rsidRPr="00F80CF1">
        <w:rPr>
          <w:rFonts w:ascii="Arial" w:hAnsi="Arial" w:cs="Arial"/>
          <w:sz w:val="24"/>
        </w:rPr>
        <w:tab/>
        <w:t xml:space="preserve">Proffitt C, Bidkhori G, Lee S, Tebani A, Mardinoglu A, Uhlen M, Moyes DL, Shoaie S. Genome-scale metabolic modelling of the human gut microbiome reveals changes in the glyoxylate and dicarboxylate metabolism in metabolic disorders. </w:t>
      </w:r>
      <w:r w:rsidRPr="00F80CF1">
        <w:rPr>
          <w:rFonts w:ascii="Arial" w:hAnsi="Arial" w:cs="Arial"/>
          <w:i/>
          <w:iCs/>
          <w:sz w:val="24"/>
        </w:rPr>
        <w:t>iScience</w:t>
      </w:r>
      <w:r w:rsidRPr="00F80CF1">
        <w:rPr>
          <w:rFonts w:ascii="Arial" w:hAnsi="Arial" w:cs="Arial"/>
          <w:sz w:val="24"/>
        </w:rPr>
        <w:t xml:space="preserve">. 2022;25:104513. </w:t>
      </w:r>
    </w:p>
    <w:p w14:paraId="36168F18"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178. </w:t>
      </w:r>
      <w:r w:rsidRPr="00F80CF1">
        <w:rPr>
          <w:rFonts w:ascii="Arial" w:hAnsi="Arial" w:cs="Arial"/>
          <w:sz w:val="24"/>
        </w:rPr>
        <w:tab/>
        <w:t xml:space="preserve">Brown JR-M, Flemer B, Joyce SA, Zulquernain A, Sheehan D, Shanahan F, O’Toole PW. Changes in microbiota composition, bile and fatty acid metabolism, in successful faecal microbiota transplantation for Clostridioides difficile infection. </w:t>
      </w:r>
      <w:r w:rsidRPr="00F80CF1">
        <w:rPr>
          <w:rFonts w:ascii="Arial" w:hAnsi="Arial" w:cs="Arial"/>
          <w:i/>
          <w:iCs/>
          <w:sz w:val="24"/>
        </w:rPr>
        <w:t>BMC Gastroenterol</w:t>
      </w:r>
      <w:r w:rsidRPr="00F80CF1">
        <w:rPr>
          <w:rFonts w:ascii="Arial" w:hAnsi="Arial" w:cs="Arial"/>
          <w:sz w:val="24"/>
        </w:rPr>
        <w:t xml:space="preserve">. 2018;18:131. </w:t>
      </w:r>
    </w:p>
    <w:p w14:paraId="1A7C63E9"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179. </w:t>
      </w:r>
      <w:r w:rsidRPr="00F80CF1">
        <w:rPr>
          <w:rFonts w:ascii="Arial" w:hAnsi="Arial" w:cs="Arial"/>
          <w:sz w:val="24"/>
        </w:rPr>
        <w:tab/>
        <w:t xml:space="preserve">Gray LR, Tompkins SC, Taylor EB. Regulation of pyruvate metabolism and human disease. </w:t>
      </w:r>
      <w:r w:rsidRPr="00F80CF1">
        <w:rPr>
          <w:rFonts w:ascii="Arial" w:hAnsi="Arial" w:cs="Arial"/>
          <w:i/>
          <w:iCs/>
          <w:sz w:val="24"/>
        </w:rPr>
        <w:t>Cell Mol Life Sci</w:t>
      </w:r>
      <w:r w:rsidRPr="00F80CF1">
        <w:rPr>
          <w:rFonts w:ascii="Arial" w:hAnsi="Arial" w:cs="Arial"/>
          <w:sz w:val="24"/>
        </w:rPr>
        <w:t xml:space="preserve">. 2014;71:2577–2604. </w:t>
      </w:r>
    </w:p>
    <w:p w14:paraId="3111B378"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180. </w:t>
      </w:r>
      <w:r w:rsidRPr="00F80CF1">
        <w:rPr>
          <w:rFonts w:ascii="Arial" w:hAnsi="Arial" w:cs="Arial"/>
          <w:sz w:val="24"/>
        </w:rPr>
        <w:tab/>
        <w:t xml:space="preserve">Kingkaw A, Raethong N, Patumcharoenpol P, Suratannon N, Nakphaichit M, Keawsompong S, Roytrakul S, Vongsangnak W. Analyzing Predominant Bacterial Species and Potential Short-Chain Fatty Acid-Associated Metabolic Routes in Human Gut Microbiome Using Integrative Metagenomics. </w:t>
      </w:r>
      <w:r w:rsidRPr="00F80CF1">
        <w:rPr>
          <w:rFonts w:ascii="Arial" w:hAnsi="Arial" w:cs="Arial"/>
          <w:i/>
          <w:iCs/>
          <w:sz w:val="24"/>
        </w:rPr>
        <w:t>Biology (Basel)</w:t>
      </w:r>
      <w:r w:rsidRPr="00F80CF1">
        <w:rPr>
          <w:rFonts w:ascii="Arial" w:hAnsi="Arial" w:cs="Arial"/>
          <w:sz w:val="24"/>
        </w:rPr>
        <w:t xml:space="preserve">. 2022;12:21. </w:t>
      </w:r>
    </w:p>
    <w:p w14:paraId="0F1EC38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181. </w:t>
      </w:r>
      <w:r w:rsidRPr="00F80CF1">
        <w:rPr>
          <w:rFonts w:ascii="Arial" w:hAnsi="Arial" w:cs="Arial"/>
          <w:sz w:val="24"/>
        </w:rPr>
        <w:tab/>
        <w:t xml:space="preserve">Wang X, Quinn PJ. Lipopolysaccharide: Biosynthetic pathway and structure modification. </w:t>
      </w:r>
      <w:r w:rsidRPr="00F80CF1">
        <w:rPr>
          <w:rFonts w:ascii="Arial" w:hAnsi="Arial" w:cs="Arial"/>
          <w:i/>
          <w:iCs/>
          <w:sz w:val="24"/>
        </w:rPr>
        <w:t>Prog Lipid Res</w:t>
      </w:r>
      <w:r w:rsidRPr="00F80CF1">
        <w:rPr>
          <w:rFonts w:ascii="Arial" w:hAnsi="Arial" w:cs="Arial"/>
          <w:sz w:val="24"/>
        </w:rPr>
        <w:t xml:space="preserve">. 2010;49:97–107. </w:t>
      </w:r>
    </w:p>
    <w:p w14:paraId="2A410AE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182. </w:t>
      </w:r>
      <w:r w:rsidRPr="00F80CF1">
        <w:rPr>
          <w:rFonts w:ascii="Arial" w:hAnsi="Arial" w:cs="Arial"/>
          <w:sz w:val="24"/>
        </w:rPr>
        <w:tab/>
        <w:t xml:space="preserve">Sperandeo P, Martorana AM, Polissi A. Lipopolysaccharide Biosynthesis and Transport to the Outer Membrane of Gram-Negative Bacteria. </w:t>
      </w:r>
      <w:r w:rsidRPr="00F80CF1">
        <w:rPr>
          <w:rFonts w:ascii="Arial" w:hAnsi="Arial" w:cs="Arial"/>
          <w:i/>
          <w:iCs/>
          <w:sz w:val="24"/>
        </w:rPr>
        <w:t>Subcell Biochem</w:t>
      </w:r>
      <w:r w:rsidRPr="00F80CF1">
        <w:rPr>
          <w:rFonts w:ascii="Arial" w:hAnsi="Arial" w:cs="Arial"/>
          <w:sz w:val="24"/>
        </w:rPr>
        <w:t xml:space="preserve">. 2019;92:9–37. </w:t>
      </w:r>
    </w:p>
    <w:p w14:paraId="1C4D3F5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183. </w:t>
      </w:r>
      <w:r w:rsidRPr="00F80CF1">
        <w:rPr>
          <w:rFonts w:ascii="Arial" w:hAnsi="Arial" w:cs="Arial"/>
          <w:sz w:val="24"/>
        </w:rPr>
        <w:tab/>
        <w:t xml:space="preserve">Diaz-Vivancos P, de Simone A, Kiddle G, Foyer CH. Glutathione--linking cell proliferation to oxidative stress. </w:t>
      </w:r>
      <w:r w:rsidRPr="00F80CF1">
        <w:rPr>
          <w:rFonts w:ascii="Arial" w:hAnsi="Arial" w:cs="Arial"/>
          <w:i/>
          <w:iCs/>
          <w:sz w:val="24"/>
        </w:rPr>
        <w:t>Free Radic Biol Med</w:t>
      </w:r>
      <w:r w:rsidRPr="00F80CF1">
        <w:rPr>
          <w:rFonts w:ascii="Arial" w:hAnsi="Arial" w:cs="Arial"/>
          <w:sz w:val="24"/>
        </w:rPr>
        <w:t xml:space="preserve">. 2015;89:1154–1164. </w:t>
      </w:r>
    </w:p>
    <w:p w14:paraId="5A833E73"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184. </w:t>
      </w:r>
      <w:r w:rsidRPr="00F80CF1">
        <w:rPr>
          <w:rFonts w:ascii="Arial" w:hAnsi="Arial" w:cs="Arial"/>
          <w:sz w:val="24"/>
        </w:rPr>
        <w:tab/>
        <w:t xml:space="preserve">Wu C-S, Muthyala SDV, Klemashevich C, Ufondu AU, Menon R, Chen Z, Devaraj S, Jayaraman A, Sun Y. Age-dependent remodeling of gut microbiome and host serum metabolome in mice. </w:t>
      </w:r>
      <w:r w:rsidRPr="00F80CF1">
        <w:rPr>
          <w:rFonts w:ascii="Arial" w:hAnsi="Arial" w:cs="Arial"/>
          <w:i/>
          <w:iCs/>
          <w:sz w:val="24"/>
        </w:rPr>
        <w:t>Aging (Albany NY)</w:t>
      </w:r>
      <w:r w:rsidRPr="00F80CF1">
        <w:rPr>
          <w:rFonts w:ascii="Arial" w:hAnsi="Arial" w:cs="Arial"/>
          <w:sz w:val="24"/>
        </w:rPr>
        <w:t xml:space="preserve">. 2021;13:6330–6345. </w:t>
      </w:r>
    </w:p>
    <w:p w14:paraId="77FF9FC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185. </w:t>
      </w:r>
      <w:r w:rsidRPr="00F80CF1">
        <w:rPr>
          <w:rFonts w:ascii="Arial" w:hAnsi="Arial" w:cs="Arial"/>
          <w:sz w:val="24"/>
        </w:rPr>
        <w:tab/>
        <w:t xml:space="preserve">Chellappa K, McReynolds MR, Lu W, Zeng X, Makarov M, Hayat F, Mukherjee S, Bhat YR, Lingala SR, Shima RT, Descamps HC, Cox T, Ji L, Jankowski C, Chu Q, Davidson SM, Thaiss CA, Migaud ME, Rabinowitz JD, Baur JA. NAD precursors cycle between host tissues and the gut microbiome. </w:t>
      </w:r>
      <w:r w:rsidRPr="00F80CF1">
        <w:rPr>
          <w:rFonts w:ascii="Arial" w:hAnsi="Arial" w:cs="Arial"/>
          <w:i/>
          <w:iCs/>
          <w:sz w:val="24"/>
        </w:rPr>
        <w:t>Cell Metab</w:t>
      </w:r>
      <w:r w:rsidRPr="00F80CF1">
        <w:rPr>
          <w:rFonts w:ascii="Arial" w:hAnsi="Arial" w:cs="Arial"/>
          <w:sz w:val="24"/>
        </w:rPr>
        <w:t xml:space="preserve">. 2022;34:1947-1959.e5. </w:t>
      </w:r>
    </w:p>
    <w:p w14:paraId="24A2C6D4"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186. </w:t>
      </w:r>
      <w:r w:rsidRPr="00F80CF1">
        <w:rPr>
          <w:rFonts w:ascii="Arial" w:hAnsi="Arial" w:cs="Arial"/>
          <w:sz w:val="24"/>
        </w:rPr>
        <w:tab/>
        <w:t xml:space="preserve">Wolf PG, Cowley ES, Breister A, Matatov S, Lucio L, Polak P, Ridlon JM, Gaskins HR, Anantharaman K. Diversity and distribution of sulfur metabolic genes in the human gut microbiome and their association with colorectal cancer. </w:t>
      </w:r>
      <w:r w:rsidRPr="00F80CF1">
        <w:rPr>
          <w:rFonts w:ascii="Arial" w:hAnsi="Arial" w:cs="Arial"/>
          <w:i/>
          <w:iCs/>
          <w:sz w:val="24"/>
        </w:rPr>
        <w:t>Microbiome</w:t>
      </w:r>
      <w:r w:rsidRPr="00F80CF1">
        <w:rPr>
          <w:rFonts w:ascii="Arial" w:hAnsi="Arial" w:cs="Arial"/>
          <w:sz w:val="24"/>
        </w:rPr>
        <w:t xml:space="preserve">. 2022;10:64. </w:t>
      </w:r>
    </w:p>
    <w:p w14:paraId="13B28BCF" w14:textId="77777777" w:rsidR="00F80CF1" w:rsidRPr="00F80CF1" w:rsidRDefault="00F80CF1" w:rsidP="00F80CF1">
      <w:pPr>
        <w:pStyle w:val="Bibliography"/>
        <w:rPr>
          <w:rFonts w:ascii="Arial" w:hAnsi="Arial" w:cs="Arial"/>
          <w:sz w:val="24"/>
        </w:rPr>
      </w:pPr>
      <w:r w:rsidRPr="00F80CF1">
        <w:rPr>
          <w:rFonts w:ascii="Arial" w:hAnsi="Arial" w:cs="Arial"/>
          <w:sz w:val="24"/>
        </w:rPr>
        <w:t xml:space="preserve">187. </w:t>
      </w:r>
      <w:r w:rsidRPr="00F80CF1">
        <w:rPr>
          <w:rFonts w:ascii="Arial" w:hAnsi="Arial" w:cs="Arial"/>
          <w:sz w:val="24"/>
        </w:rPr>
        <w:tab/>
        <w:t xml:space="preserve">Chan KX, Phua SY, Van Breusegem F. Secondary sulfur metabolism in cellular signalling and oxidative stress responses. </w:t>
      </w:r>
      <w:r w:rsidRPr="00F80CF1">
        <w:rPr>
          <w:rFonts w:ascii="Arial" w:hAnsi="Arial" w:cs="Arial"/>
          <w:i/>
          <w:iCs/>
          <w:sz w:val="24"/>
        </w:rPr>
        <w:t>J Exp Bot</w:t>
      </w:r>
      <w:r w:rsidRPr="00F80CF1">
        <w:rPr>
          <w:rFonts w:ascii="Arial" w:hAnsi="Arial" w:cs="Arial"/>
          <w:sz w:val="24"/>
        </w:rPr>
        <w:t xml:space="preserve">. 2019;70:4237–4250. </w:t>
      </w:r>
    </w:p>
    <w:p w14:paraId="6E153403" w14:textId="7809C4BD" w:rsidR="008B05AE" w:rsidRPr="00C42BF6" w:rsidRDefault="007F286F" w:rsidP="004E77E2">
      <w:pPr>
        <w:ind w:left="720" w:hanging="720"/>
        <w:rPr>
          <w:rFonts w:ascii="Arial" w:eastAsia="Arial" w:hAnsi="Arial" w:cs="Arial"/>
          <w:b/>
          <w:bCs/>
          <w:color w:val="000000"/>
          <w:sz w:val="24"/>
          <w:szCs w:val="24"/>
        </w:rPr>
      </w:pPr>
      <w:r w:rsidRPr="00E010E0">
        <w:rPr>
          <w:rFonts w:ascii="Arial" w:eastAsia="Arial" w:hAnsi="Arial" w:cs="Arial"/>
          <w:b/>
          <w:bCs/>
          <w:color w:val="000000"/>
          <w:sz w:val="24"/>
          <w:szCs w:val="24"/>
        </w:rPr>
        <w:fldChar w:fldCharType="end"/>
      </w:r>
    </w:p>
    <w:sectPr w:rsidR="008B05AE" w:rsidRPr="00C42BF6" w:rsidSect="00D557C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B2EF2" w14:textId="77777777" w:rsidR="00DF79BA" w:rsidRDefault="00DF79BA" w:rsidP="00FC1AAA">
      <w:pPr>
        <w:spacing w:after="0" w:line="240" w:lineRule="auto"/>
      </w:pPr>
      <w:r>
        <w:separator/>
      </w:r>
    </w:p>
  </w:endnote>
  <w:endnote w:type="continuationSeparator" w:id="0">
    <w:p w14:paraId="1A567FB0" w14:textId="77777777" w:rsidR="00DF79BA" w:rsidRDefault="00DF79BA" w:rsidP="00FC1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DB9B" w14:textId="77777777" w:rsidR="00D86C99" w:rsidRDefault="00D86C99" w:rsidP="003E457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55AB3E" w14:textId="77777777" w:rsidR="00D86C99" w:rsidRDefault="00D86C99" w:rsidP="00D86C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35FE7" w14:textId="77777777" w:rsidR="00D86C99" w:rsidRPr="00D86C99" w:rsidRDefault="00D86C99" w:rsidP="003E4570">
    <w:pPr>
      <w:pStyle w:val="Footer"/>
      <w:framePr w:wrap="none" w:vAnchor="text" w:hAnchor="margin" w:xAlign="right" w:y="1"/>
      <w:rPr>
        <w:rStyle w:val="PageNumber"/>
        <w:rFonts w:ascii="Arial" w:hAnsi="Arial" w:cs="Arial"/>
        <w:sz w:val="24"/>
        <w:szCs w:val="24"/>
      </w:rPr>
    </w:pPr>
    <w:r w:rsidRPr="00D86C99">
      <w:rPr>
        <w:rStyle w:val="PageNumber"/>
        <w:rFonts w:ascii="Arial" w:hAnsi="Arial" w:cs="Arial"/>
        <w:sz w:val="24"/>
        <w:szCs w:val="24"/>
      </w:rPr>
      <w:fldChar w:fldCharType="begin"/>
    </w:r>
    <w:r w:rsidRPr="00D86C99">
      <w:rPr>
        <w:rStyle w:val="PageNumber"/>
        <w:rFonts w:ascii="Arial" w:hAnsi="Arial" w:cs="Arial"/>
        <w:sz w:val="24"/>
        <w:szCs w:val="24"/>
      </w:rPr>
      <w:instrText xml:space="preserve"> PAGE </w:instrText>
    </w:r>
    <w:r w:rsidRPr="00D86C99">
      <w:rPr>
        <w:rStyle w:val="PageNumber"/>
        <w:rFonts w:ascii="Arial" w:hAnsi="Arial" w:cs="Arial"/>
        <w:sz w:val="24"/>
        <w:szCs w:val="24"/>
      </w:rPr>
      <w:fldChar w:fldCharType="separate"/>
    </w:r>
    <w:r w:rsidRPr="00D86C99">
      <w:rPr>
        <w:rStyle w:val="PageNumber"/>
        <w:rFonts w:ascii="Arial" w:hAnsi="Arial" w:cs="Arial"/>
        <w:noProof/>
        <w:sz w:val="24"/>
        <w:szCs w:val="24"/>
      </w:rPr>
      <w:t>2</w:t>
    </w:r>
    <w:r w:rsidRPr="00D86C99">
      <w:rPr>
        <w:rStyle w:val="PageNumber"/>
        <w:rFonts w:ascii="Arial" w:hAnsi="Arial" w:cs="Arial"/>
        <w:sz w:val="24"/>
        <w:szCs w:val="24"/>
      </w:rPr>
      <w:fldChar w:fldCharType="end"/>
    </w:r>
  </w:p>
  <w:p w14:paraId="4CD2F13E" w14:textId="77777777" w:rsidR="00D86C99" w:rsidRDefault="00D86C99" w:rsidP="00D86C99">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2115" w14:textId="77777777" w:rsidR="00D86C99" w:rsidRPr="00D86C99" w:rsidRDefault="00D86C99" w:rsidP="00D86C99">
    <w:pPr>
      <w:pStyle w:val="Footer"/>
      <w:ind w:right="360"/>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634E9" w14:textId="77777777" w:rsidR="00DF79BA" w:rsidRDefault="00DF79BA" w:rsidP="00FC1AAA">
      <w:pPr>
        <w:spacing w:after="0" w:line="240" w:lineRule="auto"/>
      </w:pPr>
      <w:r>
        <w:separator/>
      </w:r>
    </w:p>
  </w:footnote>
  <w:footnote w:type="continuationSeparator" w:id="0">
    <w:p w14:paraId="1112E908" w14:textId="77777777" w:rsidR="00DF79BA" w:rsidRDefault="00DF79BA" w:rsidP="00FC1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5535" w14:textId="77777777" w:rsidR="0023132C" w:rsidRDefault="002313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09C1" w14:textId="77777777" w:rsidR="0023132C" w:rsidRDefault="002313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E4EFA" w14:textId="77777777" w:rsidR="0023132C" w:rsidRDefault="002313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8FED519"/>
    <w:rsid w:val="00010931"/>
    <w:rsid w:val="00044333"/>
    <w:rsid w:val="000528A0"/>
    <w:rsid w:val="0005509E"/>
    <w:rsid w:val="00061532"/>
    <w:rsid w:val="0006647B"/>
    <w:rsid w:val="00067C60"/>
    <w:rsid w:val="00070248"/>
    <w:rsid w:val="000755BD"/>
    <w:rsid w:val="000774A1"/>
    <w:rsid w:val="00082F83"/>
    <w:rsid w:val="00083040"/>
    <w:rsid w:val="000921D0"/>
    <w:rsid w:val="000A1DE1"/>
    <w:rsid w:val="000B628C"/>
    <w:rsid w:val="000B7709"/>
    <w:rsid w:val="000D529B"/>
    <w:rsid w:val="000D67F9"/>
    <w:rsid w:val="000E7966"/>
    <w:rsid w:val="000F0685"/>
    <w:rsid w:val="0011653D"/>
    <w:rsid w:val="00145524"/>
    <w:rsid w:val="0014602F"/>
    <w:rsid w:val="00146406"/>
    <w:rsid w:val="00146CEB"/>
    <w:rsid w:val="00153DC9"/>
    <w:rsid w:val="001553A6"/>
    <w:rsid w:val="001642B1"/>
    <w:rsid w:val="00181499"/>
    <w:rsid w:val="001B2AD3"/>
    <w:rsid w:val="001C5D21"/>
    <w:rsid w:val="001D72E1"/>
    <w:rsid w:val="001E05F2"/>
    <w:rsid w:val="001E2A1F"/>
    <w:rsid w:val="001E4599"/>
    <w:rsid w:val="001F475C"/>
    <w:rsid w:val="001F4A7A"/>
    <w:rsid w:val="00214988"/>
    <w:rsid w:val="002171F9"/>
    <w:rsid w:val="00221CC9"/>
    <w:rsid w:val="0023132C"/>
    <w:rsid w:val="00232A67"/>
    <w:rsid w:val="00247EF0"/>
    <w:rsid w:val="0025703D"/>
    <w:rsid w:val="0025773A"/>
    <w:rsid w:val="00261583"/>
    <w:rsid w:val="00262236"/>
    <w:rsid w:val="00270C38"/>
    <w:rsid w:val="00281A47"/>
    <w:rsid w:val="00292F52"/>
    <w:rsid w:val="00296F73"/>
    <w:rsid w:val="002B2BA3"/>
    <w:rsid w:val="002B75C5"/>
    <w:rsid w:val="002B76AA"/>
    <w:rsid w:val="002B7E14"/>
    <w:rsid w:val="002C27E2"/>
    <w:rsid w:val="002C7DA8"/>
    <w:rsid w:val="002D0474"/>
    <w:rsid w:val="002D3D33"/>
    <w:rsid w:val="002F24C7"/>
    <w:rsid w:val="00346C6B"/>
    <w:rsid w:val="00346FD8"/>
    <w:rsid w:val="0035017E"/>
    <w:rsid w:val="0038774D"/>
    <w:rsid w:val="00391805"/>
    <w:rsid w:val="003B62F4"/>
    <w:rsid w:val="003B7B1A"/>
    <w:rsid w:val="003D31ED"/>
    <w:rsid w:val="003E362C"/>
    <w:rsid w:val="003E4570"/>
    <w:rsid w:val="003E6971"/>
    <w:rsid w:val="003F5306"/>
    <w:rsid w:val="004072DF"/>
    <w:rsid w:val="00441DB7"/>
    <w:rsid w:val="00446384"/>
    <w:rsid w:val="00446730"/>
    <w:rsid w:val="004475C7"/>
    <w:rsid w:val="00453496"/>
    <w:rsid w:val="0046467C"/>
    <w:rsid w:val="004765B7"/>
    <w:rsid w:val="00476E15"/>
    <w:rsid w:val="00485D33"/>
    <w:rsid w:val="00491F35"/>
    <w:rsid w:val="00493C36"/>
    <w:rsid w:val="00496E55"/>
    <w:rsid w:val="004A06DB"/>
    <w:rsid w:val="004A39C4"/>
    <w:rsid w:val="004A4C4B"/>
    <w:rsid w:val="004A6B91"/>
    <w:rsid w:val="004B573E"/>
    <w:rsid w:val="004C2779"/>
    <w:rsid w:val="004D6E11"/>
    <w:rsid w:val="004E0321"/>
    <w:rsid w:val="004E77E2"/>
    <w:rsid w:val="004F56BA"/>
    <w:rsid w:val="00530989"/>
    <w:rsid w:val="00532A7D"/>
    <w:rsid w:val="00536B3C"/>
    <w:rsid w:val="005415B1"/>
    <w:rsid w:val="00541612"/>
    <w:rsid w:val="0055093F"/>
    <w:rsid w:val="00565B53"/>
    <w:rsid w:val="00580A30"/>
    <w:rsid w:val="0058633A"/>
    <w:rsid w:val="00587CD4"/>
    <w:rsid w:val="005B6D58"/>
    <w:rsid w:val="005D3D30"/>
    <w:rsid w:val="005D5580"/>
    <w:rsid w:val="005D7C66"/>
    <w:rsid w:val="005E2AED"/>
    <w:rsid w:val="005E3F90"/>
    <w:rsid w:val="005E4EA8"/>
    <w:rsid w:val="005F05AD"/>
    <w:rsid w:val="005F0F74"/>
    <w:rsid w:val="00602765"/>
    <w:rsid w:val="00615FF4"/>
    <w:rsid w:val="00621D62"/>
    <w:rsid w:val="0063271B"/>
    <w:rsid w:val="00647DA5"/>
    <w:rsid w:val="006539CB"/>
    <w:rsid w:val="00656C26"/>
    <w:rsid w:val="00657F20"/>
    <w:rsid w:val="00664A67"/>
    <w:rsid w:val="00666A80"/>
    <w:rsid w:val="00674D1D"/>
    <w:rsid w:val="006850B0"/>
    <w:rsid w:val="00691319"/>
    <w:rsid w:val="006B0022"/>
    <w:rsid w:val="006B3C66"/>
    <w:rsid w:val="006C0E62"/>
    <w:rsid w:val="006D0426"/>
    <w:rsid w:val="006D1CF9"/>
    <w:rsid w:val="006D58C0"/>
    <w:rsid w:val="006D79A5"/>
    <w:rsid w:val="006F3C6F"/>
    <w:rsid w:val="006F719E"/>
    <w:rsid w:val="007051EE"/>
    <w:rsid w:val="00711F5C"/>
    <w:rsid w:val="00714432"/>
    <w:rsid w:val="00725820"/>
    <w:rsid w:val="0073301C"/>
    <w:rsid w:val="00742F6F"/>
    <w:rsid w:val="007602CE"/>
    <w:rsid w:val="00766AE0"/>
    <w:rsid w:val="00766BC3"/>
    <w:rsid w:val="0077685C"/>
    <w:rsid w:val="00782271"/>
    <w:rsid w:val="00785309"/>
    <w:rsid w:val="00786904"/>
    <w:rsid w:val="0079167E"/>
    <w:rsid w:val="007917BA"/>
    <w:rsid w:val="00797ECA"/>
    <w:rsid w:val="007F25DA"/>
    <w:rsid w:val="007F286F"/>
    <w:rsid w:val="007F6828"/>
    <w:rsid w:val="007F74FE"/>
    <w:rsid w:val="008045FE"/>
    <w:rsid w:val="008202CC"/>
    <w:rsid w:val="00826F06"/>
    <w:rsid w:val="00832541"/>
    <w:rsid w:val="00852E22"/>
    <w:rsid w:val="008648FC"/>
    <w:rsid w:val="00872056"/>
    <w:rsid w:val="008762C1"/>
    <w:rsid w:val="0088724E"/>
    <w:rsid w:val="008B05AE"/>
    <w:rsid w:val="008B4274"/>
    <w:rsid w:val="008B76A0"/>
    <w:rsid w:val="008C401A"/>
    <w:rsid w:val="008D5020"/>
    <w:rsid w:val="009025DC"/>
    <w:rsid w:val="00907009"/>
    <w:rsid w:val="00942809"/>
    <w:rsid w:val="009463A4"/>
    <w:rsid w:val="009469AC"/>
    <w:rsid w:val="00947195"/>
    <w:rsid w:val="00957501"/>
    <w:rsid w:val="00967C7F"/>
    <w:rsid w:val="00971699"/>
    <w:rsid w:val="00980863"/>
    <w:rsid w:val="00982D91"/>
    <w:rsid w:val="009A00DE"/>
    <w:rsid w:val="009C3921"/>
    <w:rsid w:val="009F1305"/>
    <w:rsid w:val="009F3065"/>
    <w:rsid w:val="009F6EC5"/>
    <w:rsid w:val="00A16017"/>
    <w:rsid w:val="00A26492"/>
    <w:rsid w:val="00A355EE"/>
    <w:rsid w:val="00A36F71"/>
    <w:rsid w:val="00A37BA1"/>
    <w:rsid w:val="00A45898"/>
    <w:rsid w:val="00A5558F"/>
    <w:rsid w:val="00A7508C"/>
    <w:rsid w:val="00A84A3A"/>
    <w:rsid w:val="00A97008"/>
    <w:rsid w:val="00AA1A22"/>
    <w:rsid w:val="00AB0D4C"/>
    <w:rsid w:val="00AC176A"/>
    <w:rsid w:val="00AD5052"/>
    <w:rsid w:val="00AF302B"/>
    <w:rsid w:val="00AF5DA9"/>
    <w:rsid w:val="00B00297"/>
    <w:rsid w:val="00B0083F"/>
    <w:rsid w:val="00B050E9"/>
    <w:rsid w:val="00B0637C"/>
    <w:rsid w:val="00B06747"/>
    <w:rsid w:val="00B16D01"/>
    <w:rsid w:val="00B23DEE"/>
    <w:rsid w:val="00B44BA0"/>
    <w:rsid w:val="00B4715D"/>
    <w:rsid w:val="00B601D4"/>
    <w:rsid w:val="00B6147B"/>
    <w:rsid w:val="00B92041"/>
    <w:rsid w:val="00B9671D"/>
    <w:rsid w:val="00B975B7"/>
    <w:rsid w:val="00BA2409"/>
    <w:rsid w:val="00BA3F62"/>
    <w:rsid w:val="00BB0083"/>
    <w:rsid w:val="00BB63C3"/>
    <w:rsid w:val="00BC1756"/>
    <w:rsid w:val="00BC5B80"/>
    <w:rsid w:val="00C06142"/>
    <w:rsid w:val="00C07847"/>
    <w:rsid w:val="00C10AA9"/>
    <w:rsid w:val="00C144FD"/>
    <w:rsid w:val="00C1638D"/>
    <w:rsid w:val="00C311A9"/>
    <w:rsid w:val="00C41A49"/>
    <w:rsid w:val="00C42BF6"/>
    <w:rsid w:val="00C44D72"/>
    <w:rsid w:val="00C46C45"/>
    <w:rsid w:val="00C635F7"/>
    <w:rsid w:val="00C6377C"/>
    <w:rsid w:val="00C6548A"/>
    <w:rsid w:val="00C70740"/>
    <w:rsid w:val="00C74C6F"/>
    <w:rsid w:val="00C845FB"/>
    <w:rsid w:val="00C87038"/>
    <w:rsid w:val="00CA653C"/>
    <w:rsid w:val="00CA784F"/>
    <w:rsid w:val="00CB6331"/>
    <w:rsid w:val="00CC1026"/>
    <w:rsid w:val="00CD0892"/>
    <w:rsid w:val="00CD444C"/>
    <w:rsid w:val="00CE1737"/>
    <w:rsid w:val="00CE2111"/>
    <w:rsid w:val="00CF2976"/>
    <w:rsid w:val="00CF40F5"/>
    <w:rsid w:val="00CF4A98"/>
    <w:rsid w:val="00D00736"/>
    <w:rsid w:val="00D014DD"/>
    <w:rsid w:val="00D0788D"/>
    <w:rsid w:val="00D11C4C"/>
    <w:rsid w:val="00D14053"/>
    <w:rsid w:val="00D16EE2"/>
    <w:rsid w:val="00D202CE"/>
    <w:rsid w:val="00D4535B"/>
    <w:rsid w:val="00D46D11"/>
    <w:rsid w:val="00D557C7"/>
    <w:rsid w:val="00D603A9"/>
    <w:rsid w:val="00D60E0B"/>
    <w:rsid w:val="00D63262"/>
    <w:rsid w:val="00D671D4"/>
    <w:rsid w:val="00D70011"/>
    <w:rsid w:val="00D844BD"/>
    <w:rsid w:val="00D86C99"/>
    <w:rsid w:val="00D879B3"/>
    <w:rsid w:val="00D92B96"/>
    <w:rsid w:val="00D953F4"/>
    <w:rsid w:val="00D97CE0"/>
    <w:rsid w:val="00DA6424"/>
    <w:rsid w:val="00DB5CC9"/>
    <w:rsid w:val="00DC14E5"/>
    <w:rsid w:val="00DD7380"/>
    <w:rsid w:val="00DD77A1"/>
    <w:rsid w:val="00DE4A7B"/>
    <w:rsid w:val="00DF1E56"/>
    <w:rsid w:val="00DF79BA"/>
    <w:rsid w:val="00E00A33"/>
    <w:rsid w:val="00E010E0"/>
    <w:rsid w:val="00E019EB"/>
    <w:rsid w:val="00E02613"/>
    <w:rsid w:val="00E02C05"/>
    <w:rsid w:val="00E123D7"/>
    <w:rsid w:val="00E12DC1"/>
    <w:rsid w:val="00E12E51"/>
    <w:rsid w:val="00E17E4E"/>
    <w:rsid w:val="00E306E5"/>
    <w:rsid w:val="00E31069"/>
    <w:rsid w:val="00E313B8"/>
    <w:rsid w:val="00E45AD1"/>
    <w:rsid w:val="00E501F6"/>
    <w:rsid w:val="00E71B68"/>
    <w:rsid w:val="00E7775B"/>
    <w:rsid w:val="00E85974"/>
    <w:rsid w:val="00E9348D"/>
    <w:rsid w:val="00EA02AA"/>
    <w:rsid w:val="00EA4163"/>
    <w:rsid w:val="00EA5216"/>
    <w:rsid w:val="00EB2327"/>
    <w:rsid w:val="00ED5FFB"/>
    <w:rsid w:val="00ED7BE3"/>
    <w:rsid w:val="00F07790"/>
    <w:rsid w:val="00F14A03"/>
    <w:rsid w:val="00F240C9"/>
    <w:rsid w:val="00F47681"/>
    <w:rsid w:val="00F5299A"/>
    <w:rsid w:val="00F54C8D"/>
    <w:rsid w:val="00F57B17"/>
    <w:rsid w:val="00F63975"/>
    <w:rsid w:val="00F7758D"/>
    <w:rsid w:val="00F80CF1"/>
    <w:rsid w:val="00F964D6"/>
    <w:rsid w:val="00FA26EA"/>
    <w:rsid w:val="00FA515D"/>
    <w:rsid w:val="00FA7B6B"/>
    <w:rsid w:val="00FB63B2"/>
    <w:rsid w:val="00FB7B5C"/>
    <w:rsid w:val="00FC1AAA"/>
    <w:rsid w:val="00FC6064"/>
    <w:rsid w:val="00FD1E08"/>
    <w:rsid w:val="00FF30AE"/>
    <w:rsid w:val="00FF3516"/>
    <w:rsid w:val="01F7C514"/>
    <w:rsid w:val="02615A84"/>
    <w:rsid w:val="183A2E8D"/>
    <w:rsid w:val="18FED519"/>
    <w:rsid w:val="1FC84CC2"/>
    <w:rsid w:val="2733920B"/>
    <w:rsid w:val="277E52C9"/>
    <w:rsid w:val="2EBACE1F"/>
    <w:rsid w:val="376C9DC2"/>
    <w:rsid w:val="45A21497"/>
    <w:rsid w:val="50C16B6D"/>
    <w:rsid w:val="5A5DBCDC"/>
    <w:rsid w:val="72D1D4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9D193"/>
  <w15:chartTrackingRefBased/>
  <w15:docId w15:val="{1CA6F358-8493-4CA2-BD02-4E146045B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Pr>
      <w:color w:val="0563C1"/>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link w:val="CommentText"/>
    <w:uiPriority w:val="99"/>
    <w:rPr>
      <w:sz w:val="20"/>
      <w:szCs w:val="20"/>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57501"/>
    <w:rPr>
      <w:b/>
      <w:bCs/>
    </w:rPr>
  </w:style>
  <w:style w:type="character" w:customStyle="1" w:styleId="CommentSubjectChar">
    <w:name w:val="Comment Subject Char"/>
    <w:link w:val="CommentSubject"/>
    <w:uiPriority w:val="99"/>
    <w:semiHidden/>
    <w:rsid w:val="00957501"/>
    <w:rPr>
      <w:b/>
      <w:bCs/>
      <w:sz w:val="20"/>
      <w:szCs w:val="20"/>
    </w:rPr>
  </w:style>
  <w:style w:type="paragraph" w:styleId="Bibliography">
    <w:name w:val="Bibliography"/>
    <w:basedOn w:val="Normal"/>
    <w:next w:val="Normal"/>
    <w:uiPriority w:val="37"/>
    <w:unhideWhenUsed/>
    <w:rsid w:val="007F286F"/>
  </w:style>
  <w:style w:type="paragraph" w:styleId="Revision">
    <w:name w:val="Revision"/>
    <w:hidden/>
    <w:uiPriority w:val="99"/>
    <w:semiHidden/>
    <w:rsid w:val="00A355EE"/>
    <w:rPr>
      <w:sz w:val="22"/>
      <w:szCs w:val="22"/>
      <w:lang w:eastAsia="en-US"/>
    </w:rPr>
  </w:style>
  <w:style w:type="character" w:styleId="UnresolvedMention">
    <w:name w:val="Unresolved Mention"/>
    <w:uiPriority w:val="99"/>
    <w:semiHidden/>
    <w:unhideWhenUsed/>
    <w:rsid w:val="00FF30AE"/>
    <w:rPr>
      <w:color w:val="605E5C"/>
      <w:shd w:val="clear" w:color="auto" w:fill="E1DFDD"/>
    </w:rPr>
  </w:style>
  <w:style w:type="character" w:styleId="LineNumber">
    <w:name w:val="line number"/>
    <w:uiPriority w:val="99"/>
    <w:unhideWhenUsed/>
    <w:rsid w:val="00485D33"/>
    <w:rPr>
      <w:rFonts w:ascii="Arial" w:hAnsi="Arial"/>
    </w:rPr>
  </w:style>
  <w:style w:type="paragraph" w:styleId="Header">
    <w:name w:val="header"/>
    <w:basedOn w:val="Normal"/>
    <w:link w:val="HeaderChar"/>
    <w:uiPriority w:val="99"/>
    <w:unhideWhenUsed/>
    <w:rsid w:val="00FC1A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AAA"/>
  </w:style>
  <w:style w:type="paragraph" w:styleId="Footer">
    <w:name w:val="footer"/>
    <w:basedOn w:val="Normal"/>
    <w:link w:val="FooterChar"/>
    <w:uiPriority w:val="99"/>
    <w:unhideWhenUsed/>
    <w:rsid w:val="00FC1A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AAA"/>
  </w:style>
  <w:style w:type="character" w:styleId="PageNumber">
    <w:name w:val="page number"/>
    <w:basedOn w:val="DefaultParagraphFont"/>
    <w:uiPriority w:val="99"/>
    <w:semiHidden/>
    <w:unhideWhenUsed/>
    <w:rsid w:val="00D86C99"/>
  </w:style>
  <w:style w:type="paragraph" w:styleId="NormalWeb">
    <w:name w:val="Normal (Web)"/>
    <w:basedOn w:val="Normal"/>
    <w:uiPriority w:val="99"/>
    <w:semiHidden/>
    <w:unhideWhenUsed/>
    <w:rsid w:val="005F05AD"/>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249236">
      <w:bodyDiv w:val="1"/>
      <w:marLeft w:val="0"/>
      <w:marRight w:val="0"/>
      <w:marTop w:val="0"/>
      <w:marBottom w:val="0"/>
      <w:divBdr>
        <w:top w:val="none" w:sz="0" w:space="0" w:color="auto"/>
        <w:left w:val="none" w:sz="0" w:space="0" w:color="auto"/>
        <w:bottom w:val="none" w:sz="0" w:space="0" w:color="auto"/>
        <w:right w:val="none" w:sz="0" w:space="0" w:color="auto"/>
      </w:divBdr>
      <w:divsChild>
        <w:div w:id="1461417530">
          <w:marLeft w:val="0"/>
          <w:marRight w:val="0"/>
          <w:marTop w:val="0"/>
          <w:marBottom w:val="0"/>
          <w:divBdr>
            <w:top w:val="none" w:sz="0" w:space="0" w:color="auto"/>
            <w:left w:val="none" w:sz="0" w:space="0" w:color="auto"/>
            <w:bottom w:val="none" w:sz="0" w:space="0" w:color="auto"/>
            <w:right w:val="none" w:sz="0" w:space="0" w:color="auto"/>
          </w:divBdr>
          <w:divsChild>
            <w:div w:id="1354456533">
              <w:marLeft w:val="0"/>
              <w:marRight w:val="0"/>
              <w:marTop w:val="0"/>
              <w:marBottom w:val="0"/>
              <w:divBdr>
                <w:top w:val="none" w:sz="0" w:space="0" w:color="auto"/>
                <w:left w:val="none" w:sz="0" w:space="0" w:color="auto"/>
                <w:bottom w:val="none" w:sz="0" w:space="0" w:color="auto"/>
                <w:right w:val="none" w:sz="0" w:space="0" w:color="auto"/>
              </w:divBdr>
              <w:divsChild>
                <w:div w:id="910847666">
                  <w:marLeft w:val="0"/>
                  <w:marRight w:val="0"/>
                  <w:marTop w:val="0"/>
                  <w:marBottom w:val="0"/>
                  <w:divBdr>
                    <w:top w:val="none" w:sz="0" w:space="0" w:color="auto"/>
                    <w:left w:val="none" w:sz="0" w:space="0" w:color="auto"/>
                    <w:bottom w:val="none" w:sz="0" w:space="0" w:color="auto"/>
                    <w:right w:val="none" w:sz="0" w:space="0" w:color="auto"/>
                  </w:divBdr>
                  <w:divsChild>
                    <w:div w:id="11805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otivco.com/rodent-traditional-natural-ingredient-diet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vienna.brunt@cuanschutz.ed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898F8-BAD2-9247-B5ED-FE68BBE2F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41</Pages>
  <Words>109089</Words>
  <Characters>621812</Characters>
  <Application>Microsoft Office Word</Application>
  <DocSecurity>0</DocSecurity>
  <Lines>5181</Lines>
  <Paragraphs>1458</Paragraphs>
  <ScaleCrop>false</ScaleCrop>
  <Company/>
  <LinksUpToDate>false</LinksUpToDate>
  <CharactersWithSpaces>729443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Greenberg</dc:creator>
  <cp:keywords/>
  <dc:description/>
  <cp:lastModifiedBy>Abigail Longtine</cp:lastModifiedBy>
  <cp:revision>36</cp:revision>
  <dcterms:created xsi:type="dcterms:W3CDTF">2024-04-11T16:32:00Z</dcterms:created>
  <dcterms:modified xsi:type="dcterms:W3CDTF">2024-07-08T23:53:00Z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id="bl4KQ6iI"/&gt;&lt;style id="http://www.zotero.org/styles/circulation" hasBibliography="1" bibliographyStyleHasBeenSet="1"/&gt;&lt;prefs&gt;&lt;pref name="fieldType" value="Field"/&gt;&lt;pref name="delayCitationUpdates"</vt:lpwstr>
  </property>
  <property fmtid="{D5CDD505-2E9C-101B-9397-08002B2CF9AE}" pid="3" name="ZOTERO_PREF_2">
    <vt:lpwstr> value="true"/&gt;&lt;/prefs&gt;&lt;/data&gt;</vt:lpwstr>
  </property>
</Properties>
</file>